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66087"/>
      <w:bookmarkEnd w:id="2"/>
      <w:bookmarkStart w:id="3" w:name="_Hlt449016246"/>
      <w:bookmarkEnd w:id="3"/>
      <w:bookmarkStart w:id="4" w:name="_Hlt450039480"/>
      <w:bookmarkEnd w:id="4"/>
      <w:bookmarkStart w:id="5" w:name="_Hlt450066085"/>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10928</w:t>
      </w:r>
      <w:bookmarkStart w:id="15" w:name="_GoBack"/>
      <w:bookmarkEnd w:id="15"/>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7"/>
    <w:bookmarkEnd w:id="8"/>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en-US" w:eastAsia="zh-CN"/>
        </w:rPr>
        <w:t xml:space="preserve">Source: </w:t>
      </w:r>
      <w:r>
        <w:rPr>
          <w:rStyle w:val="61"/>
          <w:rFonts w:hint="eastAsia"/>
          <w:b/>
          <w:highlight w:val="none"/>
          <w:lang w:val="en-US" w:eastAsia="zh-CN"/>
        </w:rPr>
        <w:tab/>
      </w:r>
      <w:r>
        <w:rPr>
          <w:rStyle w:val="61"/>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61"/>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Considerations on ModifiedMPR-Behaviour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pt-BR" w:eastAsia="zh-CN"/>
        </w:rPr>
        <w:t>Agenda item:</w:t>
      </w:r>
      <w:r>
        <w:rPr>
          <w:rStyle w:val="61"/>
          <w:rFonts w:hint="eastAsia"/>
          <w:b/>
          <w:highlight w:val="none"/>
          <w:lang w:val="pt-BR" w:eastAsia="zh-CN"/>
        </w:rPr>
        <w:tab/>
      </w:r>
      <w:r>
        <w:rPr>
          <w:rStyle w:val="61"/>
          <w:rFonts w:hint="eastAsia"/>
          <w:b/>
          <w:highlight w:val="none"/>
          <w:lang w:val="en-US" w:eastAsia="zh-CN"/>
        </w:rPr>
        <w:t>4.2.1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eastAsia"/>
          <w:b/>
          <w:highlight w:val="none"/>
          <w:lang w:val="pt-BR" w:eastAsia="zh-CN"/>
        </w:rPr>
      </w:pPr>
      <w:r>
        <w:rPr>
          <w:rStyle w:val="61"/>
          <w:rFonts w:hint="eastAsia"/>
          <w:b/>
          <w:highlight w:val="none"/>
          <w:lang w:val="pt-BR" w:eastAsia="zh-CN"/>
        </w:rPr>
        <w:t>Document for:</w:t>
      </w:r>
      <w:r>
        <w:rPr>
          <w:rStyle w:val="61"/>
          <w:rFonts w:hint="eastAsia"/>
          <w:b/>
          <w:highlight w:val="none"/>
          <w:lang w:val="pt-BR" w:eastAsia="zh-CN"/>
        </w:rPr>
        <w:tab/>
      </w:r>
      <w:r>
        <w:rPr>
          <w:rStyle w:val="61"/>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eastAsia" w:cs="Times New Roman"/>
          <w:sz w:val="20"/>
          <w:szCs w:val="20"/>
          <w:lang w:val="en-US" w:eastAsia="zh-CN"/>
        </w:rPr>
      </w:pPr>
      <w:bookmarkStart w:id="9" w:name="OLE_LINK25"/>
      <w:r>
        <w:rPr>
          <w:rFonts w:hint="eastAsia" w:cs="Times New Roman"/>
          <w:sz w:val="20"/>
          <w:szCs w:val="20"/>
          <w:lang w:val="en-US" w:eastAsia="zh-CN"/>
        </w:rPr>
        <w:t>The issue on ModifiedMPR-Behaviour have been discussing intermittently in recent RAN4 meeting, and it seems it was discussed in separated topics with nonalignment understanding.</w:t>
      </w:r>
    </w:p>
    <w:p>
      <w:pPr>
        <w:keepNext/>
        <w:keepLines/>
        <w:pageBreakBefore w:val="0"/>
        <w:widowControl/>
        <w:kinsoku/>
        <w:wordWrap/>
        <w:topLinePunct w:val="0"/>
        <w:bidi w:val="0"/>
        <w:snapToGrid w:val="0"/>
        <w:spacing w:before="137" w:beforeLines="50" w:after="120" w:afterLines="50"/>
        <w:rPr>
          <w:rFonts w:hint="eastAsia"/>
          <w:lang w:val="en-US" w:eastAsia="zh-CN"/>
        </w:rPr>
      </w:pPr>
      <w:r>
        <w:rPr>
          <w:rFonts w:hint="eastAsia" w:cs="Times New Roman"/>
          <w:sz w:val="20"/>
          <w:szCs w:val="20"/>
          <w:lang w:val="en-US" w:eastAsia="zh-CN"/>
        </w:rPr>
        <w:t xml:space="preserve">Recently, this issue was triggered by the PHS protection, where the existing </w:t>
      </w:r>
      <w:r>
        <w:t>NS_05/NS_05U</w:t>
      </w:r>
      <w:r>
        <w:rPr>
          <w:rFonts w:hint="eastAsia"/>
          <w:lang w:val="en-US" w:eastAsia="zh-CN"/>
        </w:rPr>
        <w:t xml:space="preserve"> </w:t>
      </w:r>
      <w:r>
        <w:rPr>
          <w:rFonts w:hint="eastAsia" w:cs="Times New Roman"/>
          <w:sz w:val="20"/>
          <w:szCs w:val="20"/>
          <w:lang w:val="en-US" w:eastAsia="zh-CN"/>
        </w:rPr>
        <w:t xml:space="preserve">A-MPR requirements for band n1 would need to be updated due to the new regulation requirements in Japan. Once the new </w:t>
      </w:r>
      <w:r>
        <w:t>NS_05/NS_05U</w:t>
      </w:r>
      <w:r>
        <w:rPr>
          <w:rFonts w:hint="eastAsia"/>
          <w:lang w:val="en-US" w:eastAsia="zh-CN"/>
        </w:rPr>
        <w:t xml:space="preserve"> </w:t>
      </w:r>
      <w:r>
        <w:rPr>
          <w:rFonts w:hint="eastAsia" w:cs="Times New Roman"/>
          <w:sz w:val="20"/>
          <w:szCs w:val="20"/>
          <w:lang w:val="en-US" w:eastAsia="zh-CN"/>
        </w:rPr>
        <w:t xml:space="preserve">A-MPR requirements are introduced in the latest release specification, the consequent issue is </w:t>
      </w:r>
      <w:r>
        <w:rPr>
          <w:rFonts w:hint="eastAsia"/>
          <w:lang w:val="en-US" w:eastAsia="zh-CN"/>
        </w:rPr>
        <w:t>h</w:t>
      </w:r>
      <w:r>
        <w:t xml:space="preserve">ow to align the </w:t>
      </w:r>
      <w:r>
        <w:rPr>
          <w:rFonts w:cs="Arial"/>
        </w:rPr>
        <w:t>modifiedMPR-Behaviour</w:t>
      </w:r>
      <w:r>
        <w:t xml:space="preserve"> among releases</w:t>
      </w:r>
      <w:r>
        <w:rPr>
          <w:rFonts w:hint="eastAsia"/>
          <w:lang w:val="en-US" w:eastAsia="zh-CN"/>
        </w:rPr>
        <w:t>.</w:t>
      </w:r>
    </w:p>
    <w:p>
      <w:pPr>
        <w:keepNext/>
        <w:keepLines/>
        <w:pageBreakBefore w:val="0"/>
        <w:widowControl/>
        <w:kinsoku/>
        <w:wordWrap/>
        <w:topLinePunct w:val="0"/>
        <w:bidi w:val="0"/>
        <w:snapToGrid w:val="0"/>
        <w:spacing w:before="137" w:beforeLines="50" w:after="120" w:afterLines="50"/>
        <w:rPr>
          <w:rFonts w:hint="eastAsia"/>
          <w:lang w:val="en-US" w:eastAsia="zh-CN"/>
        </w:rPr>
      </w:pPr>
      <w:r>
        <w:rPr>
          <w:rFonts w:hint="eastAsia"/>
          <w:lang w:val="en-US" w:eastAsia="zh-CN"/>
        </w:rPr>
        <w:t>In last meeting, the agreed WF shows some open issues which are going to be discussed in this meeting, which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pacing w:after="180"/>
              <w:textAlignment w:val="baseline"/>
              <w:rPr>
                <w:lang w:eastAsia="zh-CN"/>
              </w:rPr>
            </w:pPr>
            <w:r>
              <w:rPr>
                <w:lang w:eastAsia="zh-CN"/>
              </w:rPr>
              <w:t>In next meeting, at least the following issues will be further discussed.</w:t>
            </w:r>
          </w:p>
          <w:p>
            <w:pPr>
              <w:pStyle w:val="35"/>
              <w:keepNext/>
              <w:keepLines/>
              <w:pageBreakBefore w:val="0"/>
              <w:widowControl/>
              <w:numPr>
                <w:ilvl w:val="0"/>
                <w:numId w:val="7"/>
              </w:numPr>
              <w:kinsoku/>
              <w:wordWrap/>
              <w:overflowPunct w:val="0"/>
              <w:topLinePunct w:val="0"/>
              <w:autoSpaceDE w:val="0"/>
              <w:autoSpaceDN w:val="0"/>
              <w:bidi w:val="0"/>
              <w:adjustRightInd w:val="0"/>
              <w:spacing w:after="180"/>
              <w:ind w:firstLineChars="0"/>
              <w:textAlignment w:val="baseline"/>
              <w:rPr>
                <w:bCs/>
                <w:sz w:val="20"/>
                <w:szCs w:val="20"/>
              </w:rPr>
            </w:pPr>
            <w:r>
              <w:rPr>
                <w:bCs/>
                <w:sz w:val="20"/>
                <w:szCs w:val="20"/>
              </w:rPr>
              <w:t xml:space="preserve">Check the difference between bit ‘0’ and absent from BS and UE perspective. </w:t>
            </w:r>
          </w:p>
          <w:p>
            <w:pPr>
              <w:pStyle w:val="35"/>
              <w:keepNext/>
              <w:keepLines/>
              <w:pageBreakBefore w:val="0"/>
              <w:widowControl/>
              <w:numPr>
                <w:ilvl w:val="0"/>
                <w:numId w:val="7"/>
              </w:numPr>
              <w:kinsoku/>
              <w:wordWrap/>
              <w:overflowPunct w:val="0"/>
              <w:topLinePunct w:val="0"/>
              <w:autoSpaceDE w:val="0"/>
              <w:autoSpaceDN w:val="0"/>
              <w:bidi w:val="0"/>
              <w:adjustRightInd w:val="0"/>
              <w:spacing w:after="180"/>
              <w:ind w:firstLineChars="0"/>
              <w:textAlignment w:val="baseline"/>
              <w:rPr>
                <w:bCs/>
                <w:sz w:val="20"/>
                <w:szCs w:val="20"/>
              </w:rPr>
            </w:pPr>
            <w:r>
              <w:rPr>
                <w:bCs/>
                <w:sz w:val="20"/>
                <w:szCs w:val="20"/>
              </w:rPr>
              <w:t>Check if the spec version number can be removed from next release.</w:t>
            </w:r>
          </w:p>
          <w:p>
            <w:pPr>
              <w:pStyle w:val="35"/>
              <w:keepNext/>
              <w:keepLines/>
              <w:pageBreakBefore w:val="0"/>
              <w:widowControl/>
              <w:numPr>
                <w:ilvl w:val="0"/>
                <w:numId w:val="7"/>
              </w:numPr>
              <w:kinsoku/>
              <w:wordWrap/>
              <w:overflowPunct w:val="0"/>
              <w:topLinePunct w:val="0"/>
              <w:autoSpaceDE w:val="0"/>
              <w:autoSpaceDN w:val="0"/>
              <w:bidi w:val="0"/>
              <w:adjustRightInd w:val="0"/>
              <w:spacing w:after="180"/>
              <w:ind w:firstLineChars="0"/>
              <w:textAlignment w:val="baseline"/>
              <w:rPr>
                <w:bCs/>
                <w:sz w:val="20"/>
                <w:szCs w:val="20"/>
              </w:rPr>
            </w:pPr>
            <w:r>
              <w:rPr>
                <w:rFonts w:hint="eastAsia"/>
                <w:bCs/>
                <w:sz w:val="20"/>
                <w:szCs w:val="20"/>
              </w:rPr>
              <w:t>C</w:t>
            </w:r>
            <w:r>
              <w:rPr>
                <w:bCs/>
                <w:sz w:val="20"/>
                <w:szCs w:val="20"/>
              </w:rPr>
              <w:t>heck if the requirements are changed several times, how to handle the legacy bits.</w:t>
            </w:r>
          </w:p>
          <w:p>
            <w:pPr>
              <w:keepNext/>
              <w:keepLines/>
              <w:pageBreakBefore w:val="0"/>
              <w:widowControl/>
              <w:kinsoku/>
              <w:wordWrap/>
              <w:overflowPunct w:val="0"/>
              <w:topLinePunct w:val="0"/>
              <w:autoSpaceDE w:val="0"/>
              <w:autoSpaceDN w:val="0"/>
              <w:bidi w:val="0"/>
              <w:adjustRightInd w:val="0"/>
              <w:spacing w:after="180"/>
              <w:textAlignment w:val="baseline"/>
              <w:rPr>
                <w:rFonts w:hint="default"/>
                <w:sz w:val="20"/>
                <w:szCs w:val="20"/>
                <w:lang w:val="en-US" w:eastAsia="zh-CN"/>
              </w:rPr>
            </w:pPr>
            <w:r>
              <w:rPr>
                <w:rFonts w:hint="eastAsia"/>
                <w:sz w:val="20"/>
                <w:szCs w:val="20"/>
                <w:lang w:val="en-US" w:eastAsia="zh-CN"/>
              </w:rPr>
              <w:t>&lt;...&gt;</w:t>
            </w:r>
          </w:p>
          <w:p>
            <w:pPr>
              <w:pStyle w:val="35"/>
              <w:keepNext/>
              <w:keepLines/>
              <w:pageBreakBefore w:val="0"/>
              <w:widowControl/>
              <w:numPr>
                <w:ilvl w:val="0"/>
                <w:numId w:val="7"/>
              </w:numPr>
              <w:kinsoku/>
              <w:wordWrap/>
              <w:overflowPunct w:val="0"/>
              <w:topLinePunct w:val="0"/>
              <w:autoSpaceDE w:val="0"/>
              <w:autoSpaceDN w:val="0"/>
              <w:bidi w:val="0"/>
              <w:adjustRightInd w:val="0"/>
              <w:spacing w:after="180"/>
              <w:ind w:firstLineChars="0"/>
              <w:textAlignment w:val="baseline"/>
              <w:rPr>
                <w:rFonts w:hint="default"/>
                <w:vertAlign w:val="baseline"/>
                <w:lang w:val="en-US" w:eastAsia="zh-CN"/>
              </w:rPr>
            </w:pPr>
            <w:r>
              <w:rPr>
                <w:bCs/>
                <w:sz w:val="20"/>
                <w:szCs w:val="20"/>
              </w:rPr>
              <w:t>Check if any good approach on how to handle the bits for different form factors, if dedicated bits should be used to differentiate the form factors, FWA and smart phone, for future new cases.</w:t>
            </w:r>
          </w:p>
          <w:p>
            <w:pPr>
              <w:pStyle w:val="35"/>
              <w:keepNext/>
              <w:keepLines/>
              <w:pageBreakBefore w:val="0"/>
              <w:widowControl/>
              <w:numPr>
                <w:ilvl w:val="0"/>
                <w:numId w:val="0"/>
              </w:numPr>
              <w:kinsoku/>
              <w:wordWrap/>
              <w:overflowPunct w:val="0"/>
              <w:topLinePunct w:val="0"/>
              <w:autoSpaceDE w:val="0"/>
              <w:autoSpaceDN w:val="0"/>
              <w:bidi w:val="0"/>
              <w:adjustRightInd w:val="0"/>
              <w:spacing w:after="180"/>
              <w:ind w:leftChars="0"/>
              <w:textAlignment w:val="baseline"/>
              <w:rPr>
                <w:rFonts w:hint="default"/>
                <w:vertAlign w:val="baseline"/>
                <w:lang w:val="en-US" w:eastAsia="zh-CN"/>
              </w:rPr>
            </w:pPr>
            <w:r>
              <w:rPr>
                <w:rFonts w:hint="eastAsia" w:eastAsia="宋体"/>
                <w:bCs/>
                <w:sz w:val="20"/>
                <w:szCs w:val="20"/>
                <w:lang w:val="en-US" w:eastAsia="zh-CN"/>
              </w:rPr>
              <w:t>&lt;...&gt;</w:t>
            </w:r>
          </w:p>
        </w:tc>
      </w:tr>
    </w:tbl>
    <w:p>
      <w:pPr>
        <w:keepNext/>
        <w:keepLines/>
        <w:pageBreakBefore w:val="0"/>
        <w:widowControl/>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general considerations on </w:t>
      </w:r>
      <w:r>
        <w:rPr>
          <w:rFonts w:cs="Arial"/>
        </w:rPr>
        <w:t>modifiedMPR-Behaviour</w:t>
      </w:r>
      <w:r>
        <w:t xml:space="preserve"> among releases</w:t>
      </w:r>
      <w:r>
        <w:rPr>
          <w:rFonts w:hint="eastAsia" w:cs="Times New Roman"/>
          <w:sz w:val="20"/>
          <w:szCs w:val="20"/>
          <w:lang w:val="en-US" w:eastAsia="zh-CN"/>
        </w:rPr>
        <w:t>.</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bookmarkStart w:id="10" w:name="OLE_LINK28"/>
      <w:bookmarkStart w:id="11" w:name="OLE_LINK66"/>
      <w:bookmarkStart w:id="12" w:name="OLE_LINK11"/>
      <w:bookmarkStart w:id="13" w:name="OLE_LINK23"/>
      <w:r>
        <w:rPr>
          <w:rFonts w:hint="eastAsia"/>
          <w:sz w:val="20"/>
          <w:szCs w:val="20"/>
          <w:lang w:val="en-US" w:eastAsia="zh-CN"/>
        </w:rPr>
        <w:t xml:space="preserve">It is well known that the conception of </w:t>
      </w:r>
      <w:r>
        <w:rPr>
          <w:bCs/>
          <w:sz w:val="20"/>
          <w:szCs w:val="20"/>
          <w:lang w:val="en-US" w:eastAsia="zh-CN"/>
        </w:rPr>
        <w:t>ModifiedMPR-Behavio</w:t>
      </w:r>
      <w:r>
        <w:rPr>
          <w:rFonts w:hint="eastAsia"/>
          <w:bCs/>
          <w:sz w:val="20"/>
          <w:szCs w:val="20"/>
          <w:lang w:val="en-US" w:eastAsia="zh-CN"/>
        </w:rPr>
        <w:t>u</w:t>
      </w:r>
      <w:r>
        <w:rPr>
          <w:bCs/>
          <w:sz w:val="20"/>
          <w:szCs w:val="20"/>
          <w:lang w:val="en-US" w:eastAsia="zh-CN"/>
        </w:rPr>
        <w:t>r</w:t>
      </w:r>
      <w:r>
        <w:rPr>
          <w:rFonts w:hint="eastAsia"/>
          <w:bCs/>
          <w:sz w:val="20"/>
          <w:szCs w:val="20"/>
          <w:lang w:val="en-US" w:eastAsia="zh-CN"/>
        </w:rPr>
        <w:t xml:space="preserve"> aims to meet the new emission requirements as long as </w:t>
      </w:r>
      <w:r>
        <w:rPr>
          <w:bCs/>
          <w:sz w:val="20"/>
          <w:szCs w:val="20"/>
          <w:lang w:val="en-US" w:eastAsia="zh-CN"/>
        </w:rPr>
        <w:t>some new regulation</w:t>
      </w:r>
      <w:r>
        <w:rPr>
          <w:rFonts w:hint="eastAsia"/>
          <w:bCs/>
          <w:sz w:val="20"/>
          <w:szCs w:val="20"/>
          <w:lang w:val="en-US" w:eastAsia="zh-CN"/>
        </w:rPr>
        <w:t xml:space="preserve"> requirements need to be meet. </w:t>
      </w:r>
    </w:p>
    <w:p>
      <w:pPr>
        <w:keepNext/>
        <w:keepLines/>
        <w:pageBreakBefore w:val="0"/>
        <w:widowControl/>
        <w:kinsoku/>
        <w:wordWrap/>
        <w:topLinePunct w:val="0"/>
        <w:bidi w:val="0"/>
        <w:snapToGrid w:val="0"/>
        <w:spacing w:before="137" w:beforeLines="50" w:after="120" w:afterLines="50"/>
        <w:rPr>
          <w:rFonts w:hint="default"/>
          <w:bCs/>
          <w:sz w:val="20"/>
          <w:szCs w:val="20"/>
          <w:lang w:val="en-US" w:eastAsia="zh-CN"/>
        </w:rPr>
      </w:pPr>
      <w:r>
        <w:rPr>
          <w:rFonts w:hint="eastAsia"/>
          <w:bCs/>
          <w:sz w:val="20"/>
          <w:szCs w:val="20"/>
          <w:lang w:val="en-US" w:eastAsia="zh-CN"/>
        </w:rPr>
        <w:t xml:space="preserve">We extract some texts related to </w:t>
      </w:r>
      <w:r>
        <w:rPr>
          <w:rFonts w:eastAsiaTheme="minorEastAsia"/>
          <w:i w:val="0"/>
          <w:iCs/>
          <w:sz w:val="20"/>
          <w:szCs w:val="20"/>
        </w:rPr>
        <w:t>modifiedMPR-Behaviour</w:t>
      </w:r>
      <w:r>
        <w:rPr>
          <w:rFonts w:hint="eastAsia" w:eastAsiaTheme="minorEastAsia"/>
          <w:i/>
          <w:sz w:val="20"/>
          <w:szCs w:val="20"/>
          <w:lang w:val="en-US" w:eastAsia="zh-CN"/>
        </w:rPr>
        <w:t xml:space="preserve"> </w:t>
      </w:r>
      <w:r>
        <w:rPr>
          <w:rFonts w:hint="eastAsia"/>
          <w:bCs/>
          <w:sz w:val="20"/>
          <w:szCs w:val="20"/>
          <w:lang w:val="en-US" w:eastAsia="zh-CN"/>
        </w:rPr>
        <w:t>from the existing specifications TS38.101-1/2 in the following:</w:t>
      </w:r>
    </w:p>
    <w:p>
      <w:pPr>
        <w:keepNext/>
        <w:keepLines/>
        <w:pageBreakBefore w:val="0"/>
        <w:widowControl/>
        <w:kinsoku/>
        <w:wordWrap/>
        <w:topLinePunct w:val="0"/>
        <w:bidi w:val="0"/>
        <w:snapToGrid w:val="0"/>
        <w:spacing w:before="137" w:beforeLines="50" w:after="120" w:afterLines="50"/>
        <w:rPr>
          <w:rFonts w:hint="default"/>
          <w:bCs/>
          <w:sz w:val="20"/>
          <w:szCs w:val="20"/>
          <w:lang w:val="en-US" w:eastAsia="zh-CN"/>
        </w:rPr>
      </w:pPr>
      <w:r>
        <w:rPr>
          <w:rFonts w:hint="eastAsia"/>
          <w:bCs/>
          <w:sz w:val="20"/>
          <w:szCs w:val="20"/>
          <w:lang w:val="en-US" w:eastAsia="zh-CN"/>
        </w:rPr>
        <w:t>For n41 in TS38.101-1:</w:t>
      </w:r>
    </w:p>
    <w:tbl>
      <w:tblPr>
        <w:tblStyle w:val="24"/>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5"/>
        <w:gridCol w:w="1408"/>
        <w:gridCol w:w="4386"/>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bottom w:val="nil"/>
            </w:tcBorders>
            <w:shd w:val="clear" w:color="auto" w:fill="auto"/>
            <w:vAlign w:val="top"/>
          </w:tcPr>
          <w:p>
            <w:pPr>
              <w:pStyle w:val="66"/>
              <w:keepNext/>
              <w:keepLines/>
              <w:pageBreakBefore w:val="0"/>
              <w:widowControl/>
              <w:kinsoku/>
              <w:wordWrap/>
              <w:topLinePunct w:val="0"/>
              <w:bidi w:val="0"/>
              <w:rPr>
                <w:rFonts w:ascii="Arial" w:hAnsi="Arial" w:eastAsia="宋体" w:cs="Arial"/>
                <w:b/>
                <w:kern w:val="0"/>
                <w:sz w:val="18"/>
                <w:lang w:val="en-GB" w:eastAsia="en-US" w:bidi="ar-SA"/>
              </w:rPr>
            </w:pPr>
            <w:r>
              <w:rPr>
                <w:rFonts w:cs="Arial"/>
              </w:rPr>
              <w:t>NR Band</w:t>
            </w:r>
          </w:p>
        </w:tc>
        <w:tc>
          <w:tcPr>
            <w:tcW w:w="1408" w:type="dxa"/>
            <w:vAlign w:val="top"/>
          </w:tcPr>
          <w:p>
            <w:pPr>
              <w:pStyle w:val="66"/>
              <w:keepNext/>
              <w:keepLines/>
              <w:pageBreakBefore w:val="0"/>
              <w:widowControl/>
              <w:kinsoku/>
              <w:wordWrap/>
              <w:topLinePunct w:val="0"/>
              <w:bidi w:val="0"/>
              <w:rPr>
                <w:rFonts w:cs="Arial"/>
                <w:i/>
              </w:rPr>
            </w:pPr>
            <w:r>
              <w:rPr>
                <w:rFonts w:cs="Arial"/>
              </w:rPr>
              <w:t>Index of field</w:t>
            </w:r>
          </w:p>
          <w:p>
            <w:pPr>
              <w:pStyle w:val="66"/>
              <w:keepNext/>
              <w:keepLines/>
              <w:pageBreakBefore w:val="0"/>
              <w:widowControl/>
              <w:kinsoku/>
              <w:wordWrap/>
              <w:topLinePunct w:val="0"/>
              <w:bidi w:val="0"/>
              <w:rPr>
                <w:rFonts w:ascii="Arial" w:hAnsi="Arial" w:eastAsia="宋体" w:cs="Arial"/>
                <w:b/>
                <w:kern w:val="0"/>
                <w:sz w:val="18"/>
                <w:lang w:val="en-GB" w:eastAsia="en-US" w:bidi="ar-SA"/>
              </w:rPr>
            </w:pPr>
            <w:r>
              <w:rPr>
                <w:rFonts w:cs="Arial"/>
                <w:b w:val="0"/>
                <w:bCs/>
              </w:rPr>
              <w:t>(bit number)</w:t>
            </w:r>
          </w:p>
        </w:tc>
        <w:tc>
          <w:tcPr>
            <w:tcW w:w="4386" w:type="dxa"/>
            <w:vAlign w:val="top"/>
          </w:tcPr>
          <w:p>
            <w:pPr>
              <w:pStyle w:val="66"/>
              <w:keepNext/>
              <w:keepLines/>
              <w:pageBreakBefore w:val="0"/>
              <w:widowControl/>
              <w:kinsoku/>
              <w:wordWrap/>
              <w:topLinePunct w:val="0"/>
              <w:bidi w:val="0"/>
              <w:rPr>
                <w:rFonts w:cs="Arial"/>
              </w:rPr>
            </w:pPr>
            <w:r>
              <w:rPr>
                <w:rFonts w:cs="Arial"/>
              </w:rPr>
              <w:t>Definition</w:t>
            </w:r>
          </w:p>
          <w:p>
            <w:pPr>
              <w:pStyle w:val="66"/>
              <w:keepNext/>
              <w:keepLines/>
              <w:pageBreakBefore w:val="0"/>
              <w:widowControl/>
              <w:kinsoku/>
              <w:wordWrap/>
              <w:topLinePunct w:val="0"/>
              <w:bidi w:val="0"/>
              <w:rPr>
                <w:rFonts w:ascii="Arial" w:hAnsi="Arial" w:eastAsia="宋体" w:cs="Arial"/>
                <w:b w:val="0"/>
                <w:bCs/>
                <w:kern w:val="0"/>
                <w:sz w:val="18"/>
                <w:lang w:val="en-GB" w:eastAsia="en-US" w:bidi="ar-SA"/>
              </w:rPr>
            </w:pPr>
            <w:r>
              <w:rPr>
                <w:rFonts w:cs="Arial"/>
                <w:b w:val="0"/>
                <w:bCs/>
              </w:rPr>
              <w:t>(description of the supported functionality if indicator set to one)</w:t>
            </w:r>
          </w:p>
        </w:tc>
        <w:tc>
          <w:tcPr>
            <w:tcW w:w="2440" w:type="dxa"/>
            <w:vAlign w:val="top"/>
          </w:tcPr>
          <w:p>
            <w:pPr>
              <w:pStyle w:val="66"/>
              <w:keepNext/>
              <w:keepLines/>
              <w:pageBreakBefore w:val="0"/>
              <w:widowControl/>
              <w:kinsoku/>
              <w:wordWrap/>
              <w:topLinePunct w:val="0"/>
              <w:bidi w:val="0"/>
              <w:rPr>
                <w:rFonts w:ascii="Arial" w:hAnsi="Arial" w:eastAsia="宋体" w:cs="Arial"/>
                <w:b/>
                <w:kern w:val="0"/>
                <w:sz w:val="18"/>
                <w:lang w:val="en-GB" w:eastAsia="en-US" w:bidi="ar-SA"/>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bottom w:val="nil"/>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1408"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0 (leftmost bit)</w:t>
            </w:r>
          </w:p>
        </w:tc>
        <w:tc>
          <w:tcPr>
            <w:tcW w:w="4386"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EN-DC contiguous intraband MPR as defined in clause 6.2B.2.1 of 38.101-3 v15.5.0</w:t>
            </w:r>
          </w:p>
        </w:tc>
        <w:tc>
          <w:tcPr>
            <w:tcW w:w="2440"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w:t>
            </w:r>
            <w:r>
              <w:rPr>
                <w:rFonts w:ascii="Arial" w:hAnsi="Arial" w:eastAsia="Times New Roman" w:cs="Arial"/>
                <w:sz w:val="18"/>
                <w:highlight w:val="yellow"/>
                <w:lang w:val="en-GB" w:eastAsia="en-US" w:bidi="ar-SA"/>
              </w:rPr>
              <w:t xml:space="preserve">shall </w:t>
            </w:r>
            <w:r>
              <w:rPr>
                <w:rFonts w:ascii="Arial" w:hAnsi="Arial" w:eastAsia="Times New Roman" w:cs="Arial"/>
                <w:sz w:val="18"/>
                <w:lang w:val="en-GB" w:eastAsia="en-US" w:bidi="ar-SA"/>
              </w:rPr>
              <w:t xml:space="preserve">be set to 1 by a UE supporting DC_(n)41AA UE 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top w:val="nil"/>
              <w:bottom w:val="nil"/>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408"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1</w:t>
            </w:r>
          </w:p>
        </w:tc>
        <w:tc>
          <w:tcPr>
            <w:tcW w:w="4386"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EN-DC non-contiguous intraband MPR as defined in clause 6.2B.2.2 of 38.101-3 v15.5.0</w:t>
            </w:r>
          </w:p>
        </w:tc>
        <w:tc>
          <w:tcPr>
            <w:tcW w:w="2440"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w:t>
            </w:r>
            <w:r>
              <w:rPr>
                <w:rFonts w:ascii="Arial" w:hAnsi="Arial" w:eastAsia="Times New Roman" w:cs="Arial"/>
                <w:sz w:val="18"/>
                <w:highlight w:val="yellow"/>
                <w:lang w:val="en-GB" w:eastAsia="en-US" w:bidi="ar-SA"/>
              </w:rPr>
              <w:t xml:space="preserve">shall </w:t>
            </w:r>
            <w:r>
              <w:rPr>
                <w:rFonts w:ascii="Arial" w:hAnsi="Arial" w:eastAsia="Times New Roman" w:cs="Arial"/>
                <w:sz w:val="18"/>
                <w:lang w:val="en-GB" w:eastAsia="en-US" w:bidi="ar-SA"/>
              </w:rPr>
              <w:t xml:space="preserve">be set to 1 by a UE supporting DC_41A_n41A 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top w:val="nil"/>
              <w:bottom w:val="nil"/>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408"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2</w:t>
            </w:r>
          </w:p>
        </w:tc>
        <w:tc>
          <w:tcPr>
            <w:tcW w:w="4386"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Times New Roman"/>
                <w:sz w:val="18"/>
                <w:lang w:val="en-GB" w:eastAsia="en-US" w:bidi="ar-SA"/>
              </w:rPr>
              <w:t xml:space="preserve">EN-DC contiguous and non-contiguous intraband MPR and A-MPR as defined in 38.101-3 v16.4.0. If this bit is not set the UE uses Rel-15 MPR or A-MPR for EN-DC contiguous and non-contiguous intraband MPR and A-MPR </w:t>
            </w:r>
          </w:p>
        </w:tc>
        <w:tc>
          <w:tcPr>
            <w:tcW w:w="2440"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Times New Roman"/>
                <w:sz w:val="18"/>
                <w:lang w:val="en-GB" w:eastAsia="en-US" w:bidi="ar-SA"/>
              </w:rPr>
              <w:t xml:space="preserve">-This bit </w:t>
            </w:r>
            <w:r>
              <w:rPr>
                <w:rFonts w:ascii="Arial" w:hAnsi="Arial" w:eastAsia="Times New Roman" w:cs="Times New Roman"/>
                <w:sz w:val="18"/>
                <w:highlight w:val="yellow"/>
                <w:lang w:val="en-GB" w:eastAsia="en-US" w:bidi="ar-SA"/>
              </w:rPr>
              <w:t xml:space="preserve">may </w:t>
            </w:r>
            <w:r>
              <w:rPr>
                <w:rFonts w:ascii="Arial" w:hAnsi="Arial" w:eastAsia="Times New Roman" w:cs="Times New Roman"/>
                <w:sz w:val="18"/>
                <w:lang w:val="en-GB" w:eastAsia="en-US" w:bidi="ar-SA"/>
              </w:rPr>
              <w:t xml:space="preserve">be set to 1 by a UE supporting DC_(n)41AA or DC_41A_n41A 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top w:val="nil"/>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408"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3</w:t>
            </w:r>
          </w:p>
        </w:tc>
        <w:tc>
          <w:tcPr>
            <w:tcW w:w="4386"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PC 1.5 MPR as defined in </w:t>
            </w:r>
            <w:r>
              <w:rPr>
                <w:rFonts w:ascii="Arial" w:hAnsi="Arial" w:eastAsia="Times New Roman" w:cs="Times New Roman"/>
                <w:sz w:val="18"/>
                <w:lang w:val="en-GB" w:eastAsia="en-US" w:bidi="ar-SA"/>
              </w:rPr>
              <w:t>Table 6.2D.2-3</w:t>
            </w:r>
          </w:p>
        </w:tc>
        <w:tc>
          <w:tcPr>
            <w:tcW w:w="2440" w:type="dxa"/>
          </w:tcPr>
          <w:p>
            <w:pPr>
              <w:keepNext/>
              <w:keepLines/>
              <w:pageBreakBefore w:val="0"/>
              <w:widowControl/>
              <w:kinsoku/>
              <w:wordWrap/>
              <w:overflowPunct w:val="0"/>
              <w:topLinePunct w:val="0"/>
              <w:autoSpaceDE w:val="0"/>
              <w:autoSpaceDN w:val="0"/>
              <w:bidi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Arial"/>
                <w:sz w:val="18"/>
                <w:lang w:val="en-GB" w:eastAsia="en-US" w:bidi="ar-SA"/>
              </w:rPr>
              <w:t>This bit may be set to 1 by a UE of any release supporting power class 1.5. This bit is intended to be set by larger form factor FWA devices. If the bit is not set for a Rel-17 and later UE, PC 1.5 MPR</w:t>
            </w:r>
            <w:r>
              <w:rPr>
                <w:rFonts w:ascii="Arial" w:hAnsi="Arial" w:eastAsia="Times New Roman" w:cs="Times New Roman"/>
                <w:sz w:val="18"/>
                <w:lang w:val="en-GB" w:eastAsia="en-US" w:bidi="ar-SA"/>
              </w:rPr>
              <w:t xml:space="preserve"> </w:t>
            </w:r>
            <w:r>
              <w:rPr>
                <w:rFonts w:ascii="Arial" w:hAnsi="Arial" w:eastAsia="Times New Roman" w:cs="Arial"/>
                <w:sz w:val="18"/>
                <w:lang w:val="en-GB" w:eastAsia="en-US" w:bidi="ar-SA"/>
              </w:rPr>
              <w:t>as defined in Table 6.2D.2-2 applies. If the bit is not set for a Rel-16 and earlier UE, MPR in Table 6.2.2-4 of 38.101-1 v16.5.0 applies.</w:t>
            </w:r>
          </w:p>
        </w:tc>
      </w:tr>
    </w:tbl>
    <w:p>
      <w:pPr>
        <w:keepNext/>
        <w:keepLines/>
        <w:pageBreakBefore w:val="0"/>
        <w:widowControl/>
        <w:kinsoku/>
        <w:wordWrap/>
        <w:topLinePunct w:val="0"/>
        <w:bidi w:val="0"/>
        <w:snapToGrid w:val="0"/>
        <w:spacing w:before="137" w:beforeLines="50" w:after="120" w:afterLines="50"/>
        <w:rPr>
          <w:rFonts w:hint="eastAsia"/>
          <w:bCs/>
          <w:lang w:val="en-US" w:eastAsia="zh-CN"/>
        </w:rPr>
      </w:pPr>
    </w:p>
    <w:p>
      <w:pPr>
        <w:keepNext/>
        <w:keepLines/>
        <w:pageBreakBefore w:val="0"/>
        <w:widowControl/>
        <w:kinsoku/>
        <w:wordWrap/>
        <w:topLinePunct w:val="0"/>
        <w:bidi w:val="0"/>
        <w:snapToGrid w:val="0"/>
        <w:spacing w:before="137" w:beforeLines="50" w:after="120" w:afterLines="50"/>
        <w:rPr>
          <w:rFonts w:hint="eastAsia"/>
          <w:bCs/>
          <w:lang w:val="en-US" w:eastAsia="zh-CN"/>
        </w:rPr>
      </w:pPr>
      <w:r>
        <w:rPr>
          <w:rFonts w:hint="eastAsia"/>
          <w:bCs/>
          <w:lang w:val="en-US" w:eastAsia="zh-CN"/>
        </w:rPr>
        <w:t>For n258 in TS38.101-2: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9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b/>
                <w:sz w:val="18"/>
                <w:lang w:val="en-GB" w:eastAsia="en-US" w:bidi="ar-SA"/>
              </w:rPr>
            </w:pPr>
            <w:r>
              <w:rPr>
                <w:rFonts w:ascii="Arial" w:hAnsi="Arial" w:eastAsia="Times New Roman" w:cs="Arial"/>
                <w:b/>
                <w:sz w:val="18"/>
                <w:lang w:val="en-GB" w:eastAsia="en-US" w:bidi="ar-SA"/>
              </w:rPr>
              <w:t>NR Band</w:t>
            </w:r>
          </w:p>
        </w:tc>
        <w:tc>
          <w:tcPr>
            <w:tcW w:w="157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b/>
                <w:i/>
                <w:sz w:val="18"/>
                <w:lang w:val="en-GB" w:eastAsia="en-US" w:bidi="ar-SA"/>
              </w:rPr>
            </w:pPr>
            <w:r>
              <w:rPr>
                <w:rFonts w:ascii="Arial" w:hAnsi="Arial" w:eastAsia="Times New Roman" w:cs="Arial"/>
                <w:b/>
                <w:sz w:val="18"/>
                <w:lang w:val="en-GB" w:eastAsia="en-US" w:bidi="ar-SA"/>
              </w:rPr>
              <w:t>Index of field</w:t>
            </w:r>
          </w:p>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b/>
                <w:sz w:val="18"/>
                <w:lang w:val="en-GB" w:eastAsia="en-US" w:bidi="ar-SA"/>
              </w:rPr>
            </w:pPr>
            <w:r>
              <w:rPr>
                <w:rFonts w:ascii="Arial" w:hAnsi="Arial" w:eastAsia="Times New Roman" w:cs="Arial"/>
                <w:b w:val="0"/>
                <w:bCs/>
                <w:sz w:val="18"/>
                <w:lang w:val="en-GB" w:eastAsia="en-US" w:bidi="ar-SA"/>
              </w:rPr>
              <w:t>(bit number)</w:t>
            </w:r>
          </w:p>
        </w:tc>
        <w:tc>
          <w:tcPr>
            <w:tcW w:w="4218"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b/>
                <w:sz w:val="18"/>
                <w:lang w:val="en-GB" w:eastAsia="en-US" w:bidi="ar-SA"/>
              </w:rPr>
            </w:pPr>
            <w:r>
              <w:rPr>
                <w:rFonts w:ascii="Arial" w:hAnsi="Arial" w:eastAsia="Times New Roman" w:cs="Arial"/>
                <w:b/>
                <w:sz w:val="18"/>
                <w:lang w:val="en-GB" w:eastAsia="en-US" w:bidi="ar-SA"/>
              </w:rPr>
              <w:t>Definition</w:t>
            </w:r>
          </w:p>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b w:val="0"/>
                <w:bCs/>
                <w:sz w:val="18"/>
                <w:lang w:val="en-GB" w:eastAsia="en-US" w:bidi="ar-SA"/>
              </w:rPr>
            </w:pPr>
            <w:r>
              <w:rPr>
                <w:rFonts w:ascii="Arial" w:hAnsi="Arial" w:eastAsia="Times New Roman" w:cs="Arial"/>
                <w:b w:val="0"/>
                <w:bCs/>
                <w:sz w:val="18"/>
                <w:lang w:val="en-GB" w:eastAsia="en-US" w:bidi="ar-SA"/>
              </w:rPr>
              <w:t>(description of the supported functionality if indicator set to one)</w:t>
            </w:r>
          </w:p>
        </w:tc>
        <w:tc>
          <w:tcPr>
            <w:tcW w:w="2439"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b/>
                <w:sz w:val="18"/>
                <w:lang w:val="en-GB" w:eastAsia="en-US" w:bidi="ar-SA"/>
              </w:rPr>
            </w:pPr>
            <w:r>
              <w:rPr>
                <w:rFonts w:ascii="Arial" w:hAnsi="Arial" w:eastAsia="Times New Roman" w:cs="Arial"/>
                <w:b/>
                <w:sz w:val="18"/>
                <w:lang w:val="en-GB" w:eastAsia="en-US"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w:t>
            </w:r>
          </w:p>
        </w:tc>
        <w:tc>
          <w:tcPr>
            <w:tcW w:w="157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0 (leftmost bit)</w:t>
            </w:r>
          </w:p>
        </w:tc>
        <w:tc>
          <w:tcPr>
            <w:tcW w:w="4218"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FR2 power class 3 MPR as defined in clause </w:t>
            </w:r>
            <w:r>
              <w:rPr>
                <w:rFonts w:ascii="Arial" w:hAnsi="Arial" w:eastAsia="Times New Roman" w:cs="Times New Roman"/>
                <w:sz w:val="18"/>
                <w:lang w:val="en-GB" w:eastAsia="en-US" w:bidi="ar-SA"/>
              </w:rPr>
              <w:t>6.2.2.3</w:t>
            </w:r>
            <w:r>
              <w:rPr>
                <w:rFonts w:ascii="Arial" w:hAnsi="Arial" w:eastAsia="Times New Roman" w:cs="Arial"/>
                <w:sz w:val="18"/>
                <w:lang w:val="en-GB" w:eastAsia="en-US" w:bidi="ar-SA"/>
              </w:rPr>
              <w:t xml:space="preserve"> of 38.101-2 </w:t>
            </w:r>
          </w:p>
        </w:tc>
        <w:tc>
          <w:tcPr>
            <w:tcW w:w="2439"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shall be set to 1 by a UE supporting </w:t>
            </w:r>
            <w:r>
              <w:rPr>
                <w:rFonts w:ascii="Arial" w:hAnsi="Arial" w:eastAsia="Times New Roman" w:cs="Times New Roman"/>
                <w:sz w:val="18"/>
                <w:lang w:val="en-GB" w:eastAsia="en-US" w:bidi="ar-SA"/>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1</w:t>
            </w:r>
          </w:p>
        </w:tc>
        <w:tc>
          <w:tcPr>
            <w:tcW w:w="4218"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Void</w:t>
            </w:r>
          </w:p>
        </w:tc>
        <w:tc>
          <w:tcPr>
            <w:tcW w:w="2439"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2</w:t>
            </w:r>
          </w:p>
        </w:tc>
        <w:tc>
          <w:tcPr>
            <w:tcW w:w="4218"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w:t>
            </w:r>
            <w:r>
              <w:rPr>
                <w:rFonts w:ascii="Arial" w:hAnsi="Arial" w:eastAsia="Times New Roman" w:cs="Arial"/>
                <w:sz w:val="18"/>
                <w:highlight w:val="yellow"/>
                <w:lang w:val="en-GB" w:eastAsia="en-US" w:bidi="ar-SA"/>
              </w:rPr>
              <w:t>NS_203</w:t>
            </w:r>
            <w:r>
              <w:rPr>
                <w:rFonts w:ascii="Arial" w:hAnsi="Arial" w:eastAsia="Times New Roman" w:cs="Arial"/>
                <w:sz w:val="18"/>
                <w:lang w:val="en-GB" w:eastAsia="en-US" w:bidi="ar-SA"/>
              </w:rPr>
              <w:t xml:space="preserve"> as defined in clause </w:t>
            </w:r>
            <w:r>
              <w:rPr>
                <w:rFonts w:ascii="Arial" w:hAnsi="Arial" w:eastAsia="Times New Roman" w:cs="Times New Roman"/>
                <w:sz w:val="18"/>
                <w:lang w:val="en-GB" w:eastAsia="en-US" w:bidi="ar-SA"/>
              </w:rPr>
              <w:t xml:space="preserve">6.5.3.2.4 </w:t>
            </w:r>
            <w:r>
              <w:rPr>
                <w:rFonts w:ascii="Arial" w:hAnsi="Arial" w:eastAsia="Times New Roman" w:cs="Arial"/>
                <w:sz w:val="18"/>
                <w:lang w:val="en-GB" w:eastAsia="en-US" w:bidi="ar-SA"/>
              </w:rPr>
              <w:t xml:space="preserve">or both </w:t>
            </w:r>
            <w:r>
              <w:rPr>
                <w:rFonts w:ascii="Arial" w:hAnsi="Arial" w:eastAsia="Times New Roman" w:cs="Arial"/>
                <w:sz w:val="18"/>
                <w:highlight w:val="yellow"/>
                <w:lang w:val="en-GB" w:eastAsia="en-US" w:bidi="ar-SA"/>
              </w:rPr>
              <w:t>NS_203 and CA_NS_203</w:t>
            </w:r>
            <w:r>
              <w:rPr>
                <w:rFonts w:ascii="Arial" w:hAnsi="Arial" w:eastAsia="Times New Roman" w:cs="Arial"/>
                <w:sz w:val="18"/>
                <w:lang w:val="en-GB" w:eastAsia="en-US" w:bidi="ar-SA"/>
              </w:rPr>
              <w:t xml:space="preserve"> as defined in clause </w:t>
            </w:r>
            <w:r>
              <w:rPr>
                <w:rFonts w:ascii="Arial" w:hAnsi="Arial" w:eastAsia="Times New Roman" w:cs="Times New Roman"/>
                <w:sz w:val="18"/>
                <w:lang w:val="en-GB" w:eastAsia="en-US" w:bidi="ar-SA"/>
              </w:rPr>
              <w:t xml:space="preserve">6.5A.3.2.4 </w:t>
            </w:r>
            <w:r>
              <w:rPr>
                <w:rFonts w:ascii="Arial" w:hAnsi="Arial" w:eastAsia="Times New Roman" w:cs="Arial"/>
                <w:sz w:val="18"/>
                <w:lang w:val="en-GB" w:eastAsia="en-US" w:bidi="ar-SA"/>
              </w:rPr>
              <w:t>of 38.101-2 v15.12.0</w:t>
            </w:r>
          </w:p>
        </w:tc>
        <w:tc>
          <w:tcPr>
            <w:tcW w:w="2439"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shall be set to 1 by a UE supporting </w:t>
            </w:r>
            <w:r>
              <w:rPr>
                <w:rFonts w:ascii="Arial" w:hAnsi="Arial" w:eastAsia="Times New Roman" w:cs="Times New Roman"/>
                <w:sz w:val="18"/>
                <w:lang w:val="en-GB" w:eastAsia="en-US" w:bidi="ar-SA"/>
              </w:rP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ja-JP" w:bidi="ar-SA"/>
              </w:rPr>
              <w:t>3</w:t>
            </w:r>
          </w:p>
        </w:tc>
        <w:tc>
          <w:tcPr>
            <w:tcW w:w="4218"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w:t>
            </w:r>
            <w:r>
              <w:rPr>
                <w:rFonts w:ascii="Arial" w:hAnsi="Arial" w:eastAsia="Times New Roman" w:cs="Arial"/>
                <w:sz w:val="18"/>
                <w:highlight w:val="yellow"/>
                <w:lang w:val="en-GB" w:eastAsia="en-US" w:bidi="ar-SA"/>
              </w:rPr>
              <w:t>NS_202</w:t>
            </w:r>
            <w:r>
              <w:rPr>
                <w:rFonts w:ascii="Arial" w:hAnsi="Arial" w:eastAsia="Times New Roman" w:cs="Arial"/>
                <w:sz w:val="18"/>
                <w:lang w:val="en-GB" w:eastAsia="en-US" w:bidi="ar-SA"/>
              </w:rPr>
              <w:t xml:space="preserve"> as defined in clause </w:t>
            </w:r>
            <w:r>
              <w:rPr>
                <w:rFonts w:ascii="Arial" w:hAnsi="Arial" w:eastAsia="Times New Roman" w:cs="Times New Roman"/>
                <w:sz w:val="18"/>
                <w:lang w:val="en-GB" w:eastAsia="en-US" w:bidi="ar-SA"/>
              </w:rPr>
              <w:t xml:space="preserve">6.2.3.3 </w:t>
            </w:r>
            <w:r>
              <w:rPr>
                <w:rFonts w:ascii="Arial" w:hAnsi="Arial" w:eastAsia="Times New Roman" w:cs="Arial"/>
                <w:sz w:val="18"/>
                <w:lang w:val="en-GB" w:eastAsia="en-US" w:bidi="ar-SA"/>
              </w:rPr>
              <w:t xml:space="preserve">or both </w:t>
            </w:r>
            <w:r>
              <w:rPr>
                <w:rFonts w:ascii="Arial" w:hAnsi="Arial" w:eastAsia="Times New Roman" w:cs="Arial"/>
                <w:sz w:val="18"/>
                <w:highlight w:val="yellow"/>
                <w:lang w:val="en-GB" w:eastAsia="en-US" w:bidi="ar-SA"/>
              </w:rPr>
              <w:t>NS_20</w:t>
            </w:r>
            <w:r>
              <w:rPr>
                <w:rFonts w:hint="eastAsia" w:ascii="Arial" w:hAnsi="Arial" w:eastAsia="Times New Roman" w:cs="Arial"/>
                <w:sz w:val="18"/>
                <w:highlight w:val="yellow"/>
                <w:lang w:val="en-GB" w:eastAsia="ja-JP" w:bidi="ar-SA"/>
              </w:rPr>
              <w:t>2</w:t>
            </w:r>
            <w:r>
              <w:rPr>
                <w:rFonts w:ascii="Arial" w:hAnsi="Arial" w:eastAsia="Times New Roman" w:cs="Arial"/>
                <w:sz w:val="18"/>
                <w:highlight w:val="yellow"/>
                <w:lang w:val="en-GB" w:eastAsia="en-US" w:bidi="ar-SA"/>
              </w:rPr>
              <w:t xml:space="preserve"> and CA_NS_20</w:t>
            </w:r>
            <w:r>
              <w:rPr>
                <w:rFonts w:hint="eastAsia" w:ascii="Arial" w:hAnsi="Arial" w:eastAsia="Times New Roman" w:cs="Arial"/>
                <w:sz w:val="18"/>
                <w:highlight w:val="yellow"/>
                <w:lang w:val="en-GB" w:eastAsia="ja-JP" w:bidi="ar-SA"/>
              </w:rPr>
              <w:t>2</w:t>
            </w:r>
            <w:r>
              <w:rPr>
                <w:rFonts w:ascii="Arial" w:hAnsi="Arial" w:eastAsia="Times New Roman" w:cs="Arial"/>
                <w:sz w:val="18"/>
                <w:highlight w:val="yellow"/>
                <w:lang w:val="en-GB" w:eastAsia="en-US" w:bidi="ar-SA"/>
              </w:rPr>
              <w:t xml:space="preserve"> </w:t>
            </w:r>
            <w:r>
              <w:rPr>
                <w:rFonts w:ascii="Arial" w:hAnsi="Arial" w:eastAsia="Times New Roman" w:cs="Arial"/>
                <w:sz w:val="18"/>
                <w:lang w:val="en-GB" w:eastAsia="en-US" w:bidi="ar-SA"/>
              </w:rPr>
              <w:t xml:space="preserve">as defined in clause </w:t>
            </w:r>
            <w:r>
              <w:rPr>
                <w:rFonts w:ascii="Arial" w:hAnsi="Arial" w:eastAsia="Times New Roman" w:cs="Times New Roman"/>
                <w:sz w:val="18"/>
                <w:lang w:val="en-GB" w:eastAsia="en-US" w:bidi="ar-SA"/>
              </w:rPr>
              <w:t xml:space="preserve">6.2A.3.3 </w:t>
            </w:r>
          </w:p>
        </w:tc>
        <w:tc>
          <w:tcPr>
            <w:tcW w:w="2439"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This bit shall be set to 1 by a UE supporting 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ja-JP" w:bidi="ar-SA"/>
              </w:rPr>
              <w:t>4</w:t>
            </w:r>
          </w:p>
        </w:tc>
        <w:tc>
          <w:tcPr>
            <w:tcW w:w="4218"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w:t>
            </w:r>
            <w:r>
              <w:rPr>
                <w:rFonts w:ascii="Arial" w:hAnsi="Arial" w:eastAsia="Times New Roman" w:cs="Arial"/>
                <w:sz w:val="18"/>
                <w:highlight w:val="yellow"/>
                <w:lang w:val="en-GB" w:eastAsia="en-US" w:bidi="ar-SA"/>
              </w:rPr>
              <w:t>NS_205</w:t>
            </w:r>
            <w:r>
              <w:rPr>
                <w:rFonts w:ascii="Arial" w:hAnsi="Arial" w:eastAsia="Times New Roman" w:cs="Arial"/>
                <w:sz w:val="18"/>
                <w:lang w:val="en-GB" w:eastAsia="en-US" w:bidi="ar-SA"/>
              </w:rPr>
              <w:t xml:space="preserve"> as defined in clause </w:t>
            </w:r>
            <w:r>
              <w:rPr>
                <w:rFonts w:ascii="Arial" w:hAnsi="Arial" w:eastAsia="Times New Roman" w:cs="Times New Roman"/>
                <w:sz w:val="18"/>
                <w:lang w:val="en-GB" w:eastAsia="en-US" w:bidi="ar-SA"/>
              </w:rPr>
              <w:t xml:space="preserve">6.2.3.6 </w:t>
            </w:r>
            <w:r>
              <w:rPr>
                <w:rFonts w:ascii="Arial" w:hAnsi="Arial" w:eastAsia="Times New Roman" w:cs="Arial"/>
                <w:sz w:val="18"/>
                <w:lang w:val="en-GB" w:eastAsia="en-US" w:bidi="ar-SA"/>
              </w:rPr>
              <w:t xml:space="preserve">or both </w:t>
            </w:r>
            <w:r>
              <w:rPr>
                <w:rFonts w:ascii="Arial" w:hAnsi="Arial" w:eastAsia="Times New Roman" w:cs="Arial"/>
                <w:sz w:val="18"/>
                <w:highlight w:val="yellow"/>
                <w:lang w:val="en-GB" w:eastAsia="en-US" w:bidi="ar-SA"/>
              </w:rPr>
              <w:t>NS_205 and CA_NS_205</w:t>
            </w:r>
            <w:r>
              <w:rPr>
                <w:rFonts w:ascii="Arial" w:hAnsi="Arial" w:eastAsia="Times New Roman" w:cs="Arial"/>
                <w:sz w:val="18"/>
                <w:lang w:val="en-GB" w:eastAsia="en-US" w:bidi="ar-SA"/>
              </w:rPr>
              <w:t xml:space="preserve"> as defined in clause </w:t>
            </w:r>
            <w:r>
              <w:rPr>
                <w:rFonts w:ascii="Arial" w:hAnsi="Arial" w:eastAsia="Times New Roman" w:cs="Times New Roman"/>
                <w:sz w:val="18"/>
                <w:lang w:val="en-GB" w:eastAsia="en-US" w:bidi="ar-SA"/>
              </w:rPr>
              <w:t xml:space="preserve">6.2A.3.6 </w:t>
            </w:r>
          </w:p>
        </w:tc>
        <w:tc>
          <w:tcPr>
            <w:tcW w:w="2439" w:type="dxa"/>
          </w:tcPr>
          <w:p>
            <w:pPr>
              <w:keepNext/>
              <w:keepLines/>
              <w:pageBreakBefore w:val="0"/>
              <w:widowControl/>
              <w:kinsoku/>
              <w:wordWrap/>
              <w:overflowPunct w:val="0"/>
              <w:topLinePunct w:val="0"/>
              <w:autoSpaceDE w:val="0"/>
              <w:autoSpaceDN w:val="0"/>
              <w:bidi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shall be set to 1 by a UE supporting n258 or both n258 and CA_n258 </w:t>
            </w:r>
          </w:p>
        </w:tc>
      </w:tr>
    </w:tbl>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bCs/>
          <w:sz w:val="20"/>
          <w:szCs w:val="20"/>
          <w:lang w:val="en-US" w:eastAsia="zh-CN"/>
        </w:rPr>
        <w:t>From the above extracted texts, we found different approaches were adopted between TS38.101-1 and TS38.101-2, where in TS38.101-1, the MPR/A-MPR requirements with the same NS value(i.e. NS_XX) are updated in the latest specification to meet the new regulations, while in TS38.101-2, the MPR/A-MPR requirements with the new added NS value(i.e. NS_XX) in the latest specification to meet the new regulations.</w:t>
      </w:r>
    </w:p>
    <w:p>
      <w:pPr>
        <w:keepNext/>
        <w:keepLines/>
        <w:pageBreakBefore w:val="0"/>
        <w:widowControl/>
        <w:kinsoku/>
        <w:wordWrap/>
        <w:topLinePunct w:val="0"/>
        <w:bidi w:val="0"/>
        <w:snapToGrid w:val="0"/>
        <w:spacing w:before="137" w:beforeLines="50" w:after="120" w:afterLines="50"/>
        <w:rPr>
          <w:rFonts w:hint="eastAsia"/>
          <w:sz w:val="20"/>
          <w:szCs w:val="20"/>
          <w:lang w:val="en-US" w:eastAsia="zh-CN"/>
        </w:rPr>
      </w:pPr>
      <w:r>
        <w:rPr>
          <w:rFonts w:hint="eastAsia"/>
          <w:bCs/>
          <w:sz w:val="20"/>
          <w:szCs w:val="20"/>
          <w:lang w:val="en-US" w:eastAsia="zh-CN"/>
        </w:rPr>
        <w:t>In TS38.101-2, it seems it may not be a problem to mandatory set (</w:t>
      </w:r>
      <w:r>
        <w:rPr>
          <w:rFonts w:hint="default"/>
          <w:bCs/>
          <w:sz w:val="20"/>
          <w:szCs w:val="20"/>
          <w:lang w:val="en-US" w:eastAsia="zh-CN"/>
        </w:rPr>
        <w:t>‘</w:t>
      </w:r>
      <w:r>
        <w:rPr>
          <w:rFonts w:hint="eastAsia"/>
          <w:bCs/>
          <w:sz w:val="20"/>
          <w:szCs w:val="20"/>
          <w:lang w:val="en-US" w:eastAsia="zh-CN"/>
        </w:rPr>
        <w:t>shall be</w:t>
      </w:r>
      <w:r>
        <w:rPr>
          <w:rFonts w:hint="default"/>
          <w:bCs/>
          <w:sz w:val="20"/>
          <w:szCs w:val="20"/>
          <w:lang w:val="en-US" w:eastAsia="zh-CN"/>
        </w:rPr>
        <w:t>’</w:t>
      </w:r>
      <w:r>
        <w:rPr>
          <w:rFonts w:hint="eastAsia"/>
          <w:bCs/>
          <w:sz w:val="20"/>
          <w:szCs w:val="20"/>
          <w:lang w:val="en-US" w:eastAsia="zh-CN"/>
        </w:rPr>
        <w:t xml:space="preserve">)the bit to 1 for different NS value since </w:t>
      </w:r>
      <w:r>
        <w:rPr>
          <w:rFonts w:hint="eastAsia"/>
          <w:sz w:val="20"/>
          <w:szCs w:val="20"/>
          <w:lang w:val="en-US" w:eastAsia="zh-CN"/>
        </w:rPr>
        <w:t>NW would know</w:t>
      </w:r>
      <w:r>
        <w:rPr>
          <w:rFonts w:hint="eastAsia" w:eastAsia="宋体"/>
          <w:sz w:val="20"/>
          <w:szCs w:val="20"/>
          <w:lang w:val="en-US" w:eastAsia="zh-CN"/>
        </w:rPr>
        <w:t xml:space="preserve"> which NS values </w:t>
      </w:r>
      <w:r>
        <w:rPr>
          <w:rFonts w:hint="eastAsia"/>
          <w:sz w:val="20"/>
          <w:szCs w:val="20"/>
          <w:lang w:val="en-US" w:eastAsia="zh-CN"/>
        </w:rPr>
        <w:t xml:space="preserve">for the </w:t>
      </w:r>
      <w:r>
        <w:rPr>
          <w:rFonts w:hint="eastAsia" w:eastAsia="宋体"/>
          <w:sz w:val="20"/>
          <w:szCs w:val="20"/>
          <w:lang w:val="en-US" w:eastAsia="zh-CN"/>
        </w:rPr>
        <w:t>UE</w:t>
      </w:r>
      <w:r>
        <w:rPr>
          <w:rFonts w:hint="eastAsia"/>
          <w:sz w:val="20"/>
          <w:szCs w:val="20"/>
          <w:lang w:val="en-US" w:eastAsia="zh-CN"/>
        </w:rPr>
        <w:t xml:space="preserve">s </w:t>
      </w:r>
      <w:r>
        <w:rPr>
          <w:rFonts w:hint="eastAsia" w:eastAsia="宋体"/>
          <w:sz w:val="20"/>
          <w:szCs w:val="20"/>
          <w:lang w:val="en-US" w:eastAsia="zh-CN"/>
        </w:rPr>
        <w:t>can support in the case of</w:t>
      </w:r>
      <w:r>
        <w:rPr>
          <w:rFonts w:hint="eastAsia" w:eastAsia="宋体"/>
          <w:sz w:val="20"/>
          <w:szCs w:val="20"/>
          <w:lang w:val="en-US" w:eastAsia="ja-JP"/>
        </w:rPr>
        <w:t xml:space="preserve"> two types of UE existing in a real environment: one is UE working with an </w:t>
      </w:r>
      <w:r>
        <w:rPr>
          <w:rFonts w:hint="eastAsia"/>
          <w:sz w:val="20"/>
          <w:szCs w:val="20"/>
          <w:lang w:val="en-US" w:eastAsia="zh-CN"/>
        </w:rPr>
        <w:t xml:space="preserve">original </w:t>
      </w:r>
      <w:r>
        <w:rPr>
          <w:rFonts w:hint="eastAsia" w:eastAsia="宋体"/>
          <w:sz w:val="20"/>
          <w:szCs w:val="20"/>
          <w:lang w:val="en-US" w:eastAsia="ja-JP"/>
        </w:rPr>
        <w:t>NS and the other is UE working with a new NS</w:t>
      </w:r>
      <w:r>
        <w:rPr>
          <w:rFonts w:hint="eastAsia"/>
          <w:sz w:val="20"/>
          <w:szCs w:val="20"/>
          <w:lang w:val="en-US" w:eastAsia="zh-CN"/>
        </w:rPr>
        <w:t>.</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sz w:val="20"/>
          <w:szCs w:val="20"/>
          <w:lang w:val="en-US" w:eastAsia="zh-CN"/>
        </w:rPr>
        <w:t>However, it seems the issue is more serious i</w:t>
      </w:r>
      <w:r>
        <w:rPr>
          <w:rFonts w:hint="eastAsia"/>
          <w:bCs/>
          <w:sz w:val="20"/>
          <w:szCs w:val="20"/>
          <w:lang w:val="en-US" w:eastAsia="zh-CN"/>
        </w:rPr>
        <w:t xml:space="preserve">n TS38.101-1, as an example of n41, there exists ambiguity that NW would not know which version of MPR/A-MPR requirements that the UE complies with since misusing of </w:t>
      </w:r>
      <w:r>
        <w:rPr>
          <w:rFonts w:hint="default"/>
          <w:bCs/>
          <w:sz w:val="20"/>
          <w:szCs w:val="20"/>
          <w:lang w:val="en-US" w:eastAsia="zh-CN"/>
        </w:rPr>
        <w:t>‘</w:t>
      </w:r>
      <w:r>
        <w:rPr>
          <w:rFonts w:hint="eastAsia"/>
          <w:bCs/>
          <w:sz w:val="20"/>
          <w:szCs w:val="20"/>
          <w:lang w:val="en-US" w:eastAsia="zh-CN"/>
        </w:rPr>
        <w:t>shall</w:t>
      </w:r>
      <w:r>
        <w:rPr>
          <w:rFonts w:hint="default"/>
          <w:bCs/>
          <w:sz w:val="20"/>
          <w:szCs w:val="20"/>
          <w:lang w:val="en-US" w:eastAsia="zh-CN"/>
        </w:rPr>
        <w:t>’</w:t>
      </w:r>
      <w:r>
        <w:rPr>
          <w:rFonts w:hint="eastAsia"/>
          <w:bCs/>
          <w:sz w:val="20"/>
          <w:szCs w:val="20"/>
          <w:lang w:val="en-US" w:eastAsia="zh-CN"/>
        </w:rPr>
        <w:t xml:space="preserve"> and </w:t>
      </w:r>
      <w:r>
        <w:rPr>
          <w:rFonts w:hint="default"/>
          <w:bCs/>
          <w:sz w:val="20"/>
          <w:szCs w:val="20"/>
          <w:lang w:val="en-US" w:eastAsia="zh-CN"/>
        </w:rPr>
        <w:t>‘</w:t>
      </w:r>
      <w:r>
        <w:rPr>
          <w:rFonts w:hint="eastAsia"/>
          <w:bCs/>
          <w:sz w:val="20"/>
          <w:szCs w:val="20"/>
          <w:lang w:val="en-US" w:eastAsia="zh-CN"/>
        </w:rPr>
        <w:t>may</w:t>
      </w:r>
      <w:r>
        <w:rPr>
          <w:rFonts w:hint="default"/>
          <w:bCs/>
          <w:sz w:val="20"/>
          <w:szCs w:val="20"/>
          <w:lang w:val="en-US" w:eastAsia="zh-CN"/>
        </w:rPr>
        <w:t>’</w:t>
      </w:r>
      <w:r>
        <w:rPr>
          <w:rFonts w:hint="eastAsia"/>
          <w:bCs/>
          <w:sz w:val="20"/>
          <w:szCs w:val="20"/>
          <w:lang w:val="en-US" w:eastAsia="zh-CN"/>
        </w:rPr>
        <w:t xml:space="preserve"> for the bit setting which makes it is possible to set both bit </w:t>
      </w:r>
      <w:r>
        <w:rPr>
          <w:rFonts w:hint="default"/>
          <w:bCs/>
          <w:sz w:val="20"/>
          <w:szCs w:val="20"/>
          <w:lang w:val="en-US" w:eastAsia="zh-CN"/>
        </w:rPr>
        <w:t>‘</w:t>
      </w:r>
      <w:r>
        <w:rPr>
          <w:rFonts w:hint="eastAsia"/>
          <w:bCs/>
          <w:sz w:val="20"/>
          <w:szCs w:val="20"/>
          <w:lang w:val="en-US" w:eastAsia="zh-CN"/>
        </w:rPr>
        <w:t>0</w:t>
      </w:r>
      <w:r>
        <w:rPr>
          <w:rFonts w:hint="default"/>
          <w:bCs/>
          <w:sz w:val="20"/>
          <w:szCs w:val="20"/>
          <w:lang w:val="en-US" w:eastAsia="zh-CN"/>
        </w:rPr>
        <w:t>’</w:t>
      </w:r>
      <w:r>
        <w:rPr>
          <w:rFonts w:hint="eastAsia"/>
          <w:bCs/>
          <w:sz w:val="20"/>
          <w:szCs w:val="20"/>
          <w:lang w:val="en-US" w:eastAsia="zh-CN"/>
        </w:rPr>
        <w:t xml:space="preserve"> and bit </w:t>
      </w:r>
      <w:r>
        <w:rPr>
          <w:rFonts w:hint="default"/>
          <w:bCs/>
          <w:sz w:val="20"/>
          <w:szCs w:val="20"/>
          <w:lang w:val="en-US" w:eastAsia="zh-CN"/>
        </w:rPr>
        <w:t>‘</w:t>
      </w:r>
      <w:r>
        <w:rPr>
          <w:rFonts w:hint="eastAsia"/>
          <w:bCs/>
          <w:sz w:val="20"/>
          <w:szCs w:val="20"/>
          <w:lang w:val="en-US" w:eastAsia="zh-CN"/>
        </w:rPr>
        <w:t>2</w:t>
      </w:r>
      <w:r>
        <w:rPr>
          <w:rFonts w:hint="default"/>
          <w:bCs/>
          <w:sz w:val="20"/>
          <w:szCs w:val="20"/>
          <w:lang w:val="en-US" w:eastAsia="zh-CN"/>
        </w:rPr>
        <w:t>’</w:t>
      </w:r>
      <w:r>
        <w:rPr>
          <w:rFonts w:hint="eastAsia"/>
          <w:bCs/>
          <w:sz w:val="20"/>
          <w:szCs w:val="20"/>
          <w:lang w:val="en-US" w:eastAsia="zh-CN"/>
        </w:rPr>
        <w:t xml:space="preserve"> to 1.</w:t>
      </w:r>
    </w:p>
    <w:p>
      <w:pPr>
        <w:keepNext/>
        <w:keepLines/>
        <w:pageBreakBefore w:val="0"/>
        <w:widowControl/>
        <w:kinsoku/>
        <w:wordWrap/>
        <w:topLinePunct w:val="0"/>
        <w:bidi w:val="0"/>
        <w:snapToGrid w:val="0"/>
        <w:spacing w:before="137" w:beforeLines="50" w:after="120" w:afterLines="50"/>
        <w:rPr>
          <w:rFonts w:hint="default"/>
          <w:sz w:val="20"/>
          <w:szCs w:val="20"/>
          <w:lang w:val="en-US" w:eastAsia="zh-CN"/>
        </w:rPr>
      </w:pPr>
      <w:r>
        <w:rPr>
          <w:rFonts w:hint="eastAsia"/>
          <w:bCs/>
          <w:sz w:val="20"/>
          <w:szCs w:val="20"/>
          <w:lang w:val="en-US" w:eastAsia="zh-CN"/>
        </w:rPr>
        <w:t xml:space="preserve">Although the issue was mainly triggered by </w:t>
      </w:r>
      <w:r>
        <w:rPr>
          <w:rFonts w:hint="eastAsia" w:cs="Times New Roman"/>
          <w:sz w:val="20"/>
          <w:szCs w:val="20"/>
          <w:lang w:val="en-US" w:eastAsia="zh-CN"/>
        </w:rPr>
        <w:t>PHS protection discussion, w</w:t>
      </w:r>
      <w:r>
        <w:rPr>
          <w:rFonts w:hint="eastAsia"/>
          <w:sz w:val="20"/>
          <w:szCs w:val="20"/>
          <w:lang w:val="en-US" w:eastAsia="zh-CN"/>
        </w:rPr>
        <w:t xml:space="preserve">e believe it is not only for band n1 </w:t>
      </w:r>
      <w:r>
        <w:rPr>
          <w:sz w:val="20"/>
          <w:szCs w:val="20"/>
        </w:rPr>
        <w:t>NS_05/NS_05U</w:t>
      </w:r>
      <w:r>
        <w:rPr>
          <w:rFonts w:hint="eastAsia"/>
          <w:sz w:val="20"/>
          <w:szCs w:val="20"/>
          <w:lang w:val="en-US" w:eastAsia="zh-CN"/>
        </w:rPr>
        <w:t>, but also for other bands who have the same situation. Therefore, we think it should be a generic issue and it would be better that RAN4 can come up with the rule/guidance, and the rule/guidance should be applied to the latest Rel-19 specification, no need touch the earlier specifications, we think that is the business as usual.</w:t>
      </w:r>
    </w:p>
    <w:p>
      <w:pPr>
        <w:keepNext/>
        <w:keepLines/>
        <w:pageBreakBefore w:val="0"/>
        <w:widowControl/>
        <w:kinsoku/>
        <w:wordWrap/>
        <w:topLinePunct w:val="0"/>
        <w:bidi w:val="0"/>
        <w:snapToGrid w:val="0"/>
        <w:spacing w:before="137" w:beforeLines="50" w:after="120" w:afterLines="50"/>
        <w:rPr>
          <w:rFonts w:hint="default"/>
          <w:b/>
          <w:bCs w:val="0"/>
          <w:sz w:val="20"/>
          <w:szCs w:val="20"/>
          <w:lang w:val="en-US" w:eastAsia="zh-CN"/>
        </w:rPr>
      </w:pPr>
      <w:r>
        <w:rPr>
          <w:rFonts w:hint="eastAsia"/>
          <w:b/>
          <w:bCs w:val="0"/>
          <w:sz w:val="20"/>
          <w:szCs w:val="20"/>
          <w:lang w:val="en-US" w:eastAsia="zh-CN"/>
        </w:rPr>
        <w:t>Observation 1: Different approaches were adopted between TS38.101-1 and TS38.101-2, where in TS38.101-1, the A-MPR requirements with the same NS value(i.e. NS_XX) are updated in the latest specification to meet the new regulations, while in TS38.101-2, the A-MPR requirements with the new added NS value(i.e. NS_XX) in the latest specification to meet the new regulations.</w:t>
      </w:r>
    </w:p>
    <w:p>
      <w:pPr>
        <w:keepNext/>
        <w:keepLines/>
        <w:pageBreakBefore w:val="0"/>
        <w:widowControl/>
        <w:kinsoku/>
        <w:wordWrap/>
        <w:topLinePunct w:val="0"/>
        <w:bidi w:val="0"/>
        <w:snapToGrid w:val="0"/>
        <w:spacing w:before="137" w:beforeLines="50" w:after="120" w:afterLines="50"/>
        <w:rPr>
          <w:rFonts w:hint="eastAsia"/>
          <w:b/>
          <w:bCs w:val="0"/>
          <w:sz w:val="20"/>
          <w:szCs w:val="20"/>
          <w:lang w:val="en-US" w:eastAsia="zh-CN"/>
        </w:rPr>
      </w:pPr>
      <w:r>
        <w:rPr>
          <w:rFonts w:hint="eastAsia"/>
          <w:b/>
          <w:bCs w:val="0"/>
          <w:sz w:val="20"/>
          <w:szCs w:val="20"/>
          <w:lang w:val="en-US" w:eastAsia="zh-CN"/>
        </w:rPr>
        <w:t xml:space="preserve">Observation 2: ModifiedMPR-Behaviour issue is more serious in TS38.101-1 since misusing of </w:t>
      </w:r>
      <w:r>
        <w:rPr>
          <w:rFonts w:hint="default"/>
          <w:b/>
          <w:bCs w:val="0"/>
          <w:sz w:val="20"/>
          <w:szCs w:val="20"/>
          <w:lang w:val="en-US" w:eastAsia="zh-CN"/>
        </w:rPr>
        <w:t>‘</w:t>
      </w:r>
      <w:r>
        <w:rPr>
          <w:rFonts w:hint="eastAsia"/>
          <w:b/>
          <w:bCs w:val="0"/>
          <w:sz w:val="20"/>
          <w:szCs w:val="20"/>
          <w:lang w:val="en-US" w:eastAsia="zh-CN"/>
        </w:rPr>
        <w:t>shall</w:t>
      </w:r>
      <w:r>
        <w:rPr>
          <w:rFonts w:hint="default"/>
          <w:b/>
          <w:bCs w:val="0"/>
          <w:sz w:val="20"/>
          <w:szCs w:val="20"/>
          <w:lang w:val="en-US" w:eastAsia="zh-CN"/>
        </w:rPr>
        <w:t>’</w:t>
      </w:r>
      <w:r>
        <w:rPr>
          <w:rFonts w:hint="eastAsia"/>
          <w:b/>
          <w:bCs w:val="0"/>
          <w:sz w:val="20"/>
          <w:szCs w:val="20"/>
          <w:lang w:val="en-US" w:eastAsia="zh-CN"/>
        </w:rPr>
        <w:t xml:space="preserve"> and </w:t>
      </w:r>
      <w:r>
        <w:rPr>
          <w:rFonts w:hint="default"/>
          <w:b/>
          <w:bCs w:val="0"/>
          <w:sz w:val="20"/>
          <w:szCs w:val="20"/>
          <w:lang w:val="en-US" w:eastAsia="zh-CN"/>
        </w:rPr>
        <w:t>‘</w:t>
      </w:r>
      <w:r>
        <w:rPr>
          <w:rFonts w:hint="eastAsia"/>
          <w:b/>
          <w:bCs w:val="0"/>
          <w:sz w:val="20"/>
          <w:szCs w:val="20"/>
          <w:lang w:val="en-US" w:eastAsia="zh-CN"/>
        </w:rPr>
        <w:t>may</w:t>
      </w:r>
      <w:r>
        <w:rPr>
          <w:rFonts w:hint="default"/>
          <w:b/>
          <w:bCs w:val="0"/>
          <w:sz w:val="20"/>
          <w:szCs w:val="20"/>
          <w:lang w:val="en-US" w:eastAsia="zh-CN"/>
        </w:rPr>
        <w:t>’</w:t>
      </w:r>
      <w:r>
        <w:rPr>
          <w:rFonts w:hint="eastAsia"/>
          <w:b/>
          <w:bCs w:val="0"/>
          <w:sz w:val="20"/>
          <w:szCs w:val="20"/>
          <w:lang w:val="en-US" w:eastAsia="zh-CN"/>
        </w:rPr>
        <w:t xml:space="preserve"> for the bit setting which makes it is possible to set both bit </w:t>
      </w:r>
      <w:r>
        <w:rPr>
          <w:rFonts w:hint="default"/>
          <w:b/>
          <w:bCs w:val="0"/>
          <w:sz w:val="20"/>
          <w:szCs w:val="20"/>
          <w:lang w:val="en-US" w:eastAsia="zh-CN"/>
        </w:rPr>
        <w:t>‘</w:t>
      </w:r>
      <w:r>
        <w:rPr>
          <w:rFonts w:hint="eastAsia"/>
          <w:b/>
          <w:bCs w:val="0"/>
          <w:sz w:val="20"/>
          <w:szCs w:val="20"/>
          <w:lang w:val="en-US" w:eastAsia="zh-CN"/>
        </w:rPr>
        <w:t>0</w:t>
      </w:r>
      <w:r>
        <w:rPr>
          <w:rFonts w:hint="default"/>
          <w:b/>
          <w:bCs w:val="0"/>
          <w:sz w:val="20"/>
          <w:szCs w:val="20"/>
          <w:lang w:val="en-US" w:eastAsia="zh-CN"/>
        </w:rPr>
        <w:t>’</w:t>
      </w:r>
      <w:r>
        <w:rPr>
          <w:rFonts w:hint="eastAsia"/>
          <w:b/>
          <w:bCs w:val="0"/>
          <w:sz w:val="20"/>
          <w:szCs w:val="20"/>
          <w:lang w:val="en-US" w:eastAsia="zh-CN"/>
        </w:rPr>
        <w:t xml:space="preserve"> and bit </w:t>
      </w:r>
      <w:r>
        <w:rPr>
          <w:rFonts w:hint="default"/>
          <w:b/>
          <w:bCs w:val="0"/>
          <w:sz w:val="20"/>
          <w:szCs w:val="20"/>
          <w:lang w:val="en-US" w:eastAsia="zh-CN"/>
        </w:rPr>
        <w:t>‘</w:t>
      </w:r>
      <w:r>
        <w:rPr>
          <w:rFonts w:hint="eastAsia"/>
          <w:b/>
          <w:bCs w:val="0"/>
          <w:sz w:val="20"/>
          <w:szCs w:val="20"/>
          <w:lang w:val="en-US" w:eastAsia="zh-CN"/>
        </w:rPr>
        <w:t>2</w:t>
      </w:r>
      <w:r>
        <w:rPr>
          <w:rFonts w:hint="default"/>
          <w:b/>
          <w:bCs w:val="0"/>
          <w:sz w:val="20"/>
          <w:szCs w:val="20"/>
          <w:lang w:val="en-US" w:eastAsia="zh-CN"/>
        </w:rPr>
        <w:t>’</w:t>
      </w:r>
      <w:r>
        <w:rPr>
          <w:rFonts w:hint="eastAsia"/>
          <w:b/>
          <w:bCs w:val="0"/>
          <w:sz w:val="20"/>
          <w:szCs w:val="20"/>
          <w:lang w:val="en-US" w:eastAsia="zh-CN"/>
        </w:rPr>
        <w:t xml:space="preserve"> to 1 for the same NS value. </w:t>
      </w:r>
    </w:p>
    <w:p>
      <w:pPr>
        <w:keepNext/>
        <w:keepLines/>
        <w:pageBreakBefore w:val="0"/>
        <w:widowControl/>
        <w:kinsoku/>
        <w:wordWrap/>
        <w:topLinePunct w:val="0"/>
        <w:bidi w:val="0"/>
        <w:snapToGrid w:val="0"/>
        <w:spacing w:before="137" w:beforeLines="50" w:after="120" w:afterLines="50"/>
        <w:rPr>
          <w:rFonts w:hint="default"/>
          <w:b/>
          <w:bCs w:val="0"/>
          <w:sz w:val="20"/>
          <w:szCs w:val="20"/>
          <w:lang w:val="en-US" w:eastAsia="zh-CN"/>
        </w:rPr>
      </w:pPr>
      <w:r>
        <w:rPr>
          <w:rFonts w:hint="eastAsia"/>
          <w:b/>
          <w:bCs w:val="0"/>
          <w:sz w:val="20"/>
          <w:szCs w:val="20"/>
          <w:lang w:val="en-US" w:eastAsia="zh-CN"/>
        </w:rPr>
        <w:t>Proposal 1: RAN4 should come up with the generic rule/guidance on modifiedMPR-Behaviour for both FR1 and FR2, and implement it in the latest Rel-19 specification.</w:t>
      </w:r>
    </w:p>
    <w:p>
      <w:pPr>
        <w:keepNext/>
        <w:keepLines/>
        <w:pageBreakBefore w:val="0"/>
        <w:widowControl/>
        <w:kinsoku/>
        <w:wordWrap/>
        <w:topLinePunct w:val="0"/>
        <w:bidi w:val="0"/>
        <w:snapToGrid w:val="0"/>
        <w:spacing w:before="137" w:beforeLines="50" w:after="120" w:afterLines="50"/>
        <w:rPr>
          <w:rFonts w:hint="default"/>
          <w:bCs/>
          <w:sz w:val="20"/>
          <w:szCs w:val="20"/>
          <w:lang w:val="en-US" w:eastAsia="zh-CN"/>
        </w:rPr>
      </w:pPr>
      <w:r>
        <w:rPr>
          <w:rFonts w:hint="eastAsia" w:eastAsia="等线" w:cs="Times New Roman"/>
          <w:sz w:val="20"/>
          <w:szCs w:val="20"/>
          <w:lang w:val="en-US" w:eastAsia="zh-CN" w:bidi="ar-SA"/>
        </w:rPr>
        <w:t xml:space="preserve">Regarding the </w:t>
      </w:r>
      <w:r>
        <w:rPr>
          <w:rFonts w:hint="eastAsia"/>
          <w:bCs/>
          <w:sz w:val="20"/>
          <w:szCs w:val="20"/>
          <w:lang w:val="en-US" w:eastAsia="zh-CN"/>
        </w:rPr>
        <w:t>open issues in the WF, we give some briefly discussion in the following:</w:t>
      </w:r>
    </w:p>
    <w:p>
      <w:pPr>
        <w:keepNext/>
        <w:keepLines/>
        <w:pageBreakBefore w:val="0"/>
        <w:widowControl/>
        <w:numPr>
          <w:ilvl w:val="0"/>
          <w:numId w:val="8"/>
        </w:numPr>
        <w:kinsoku/>
        <w:wordWrap/>
        <w:topLinePunct w:val="0"/>
        <w:bidi w:val="0"/>
        <w:snapToGrid w:val="0"/>
        <w:spacing w:before="137" w:beforeLines="50" w:after="120" w:afterLines="50"/>
        <w:ind w:left="420" w:leftChars="0" w:hanging="420" w:firstLineChars="0"/>
        <w:rPr>
          <w:rFonts w:hint="eastAsia"/>
          <w:bCs/>
          <w:sz w:val="20"/>
          <w:szCs w:val="20"/>
          <w:lang w:val="en-US" w:eastAsia="zh-CN"/>
        </w:rPr>
      </w:pPr>
      <w:r>
        <w:rPr>
          <w:rFonts w:hint="eastAsia"/>
          <w:bCs/>
          <w:sz w:val="20"/>
          <w:szCs w:val="20"/>
          <w:lang w:val="en-US" w:eastAsia="zh-CN"/>
        </w:rPr>
        <w:t xml:space="preserve">Check the difference between bit </w:t>
      </w:r>
      <w:r>
        <w:rPr>
          <w:rFonts w:hint="default"/>
          <w:bCs/>
          <w:sz w:val="20"/>
          <w:szCs w:val="20"/>
          <w:lang w:val="en-US" w:eastAsia="zh-CN"/>
        </w:rPr>
        <w:t>‘</w:t>
      </w:r>
      <w:r>
        <w:rPr>
          <w:rFonts w:hint="eastAsia"/>
          <w:bCs/>
          <w:sz w:val="20"/>
          <w:szCs w:val="20"/>
          <w:lang w:val="en-US" w:eastAsia="zh-CN"/>
        </w:rPr>
        <w:t>0</w:t>
      </w:r>
      <w:r>
        <w:rPr>
          <w:rFonts w:hint="default"/>
          <w:bCs/>
          <w:sz w:val="20"/>
          <w:szCs w:val="20"/>
          <w:lang w:val="en-US" w:eastAsia="zh-CN"/>
        </w:rPr>
        <w:t>’</w:t>
      </w:r>
      <w:r>
        <w:rPr>
          <w:rFonts w:hint="eastAsia"/>
          <w:bCs/>
          <w:sz w:val="20"/>
          <w:szCs w:val="20"/>
          <w:lang w:val="en-US" w:eastAsia="zh-CN"/>
        </w:rPr>
        <w:t xml:space="preserve"> and absent from BS and UE perspective. </w:t>
      </w:r>
    </w:p>
    <w:p>
      <w:pPr>
        <w:keepNext/>
        <w:keepLines/>
        <w:pageBreakBefore w:val="0"/>
        <w:widowControl/>
        <w:kinsoku/>
        <w:wordWrap/>
        <w:topLinePunct w:val="0"/>
        <w:bidi w:val="0"/>
        <w:snapToGrid w:val="0"/>
        <w:spacing w:before="137" w:beforeLines="50" w:after="120" w:afterLines="50"/>
        <w:rPr>
          <w:rFonts w:hint="default"/>
          <w:bCs/>
          <w:sz w:val="20"/>
          <w:szCs w:val="20"/>
          <w:lang w:val="en-US" w:eastAsia="zh-CN"/>
        </w:rPr>
      </w:pPr>
      <w:r>
        <w:rPr>
          <w:rFonts w:hint="eastAsia"/>
          <w:bCs/>
          <w:sz w:val="20"/>
          <w:szCs w:val="20"/>
          <w:lang w:val="en-US" w:eastAsia="zh-CN"/>
        </w:rPr>
        <w:t xml:space="preserve">In current TS38.331 spec, the </w:t>
      </w:r>
      <w:r>
        <w:rPr>
          <w:rFonts w:hint="eastAsia"/>
          <w:bCs/>
          <w:i/>
          <w:iCs/>
          <w:sz w:val="20"/>
          <w:szCs w:val="20"/>
          <w:lang w:val="en-US" w:eastAsia="zh-CN"/>
        </w:rPr>
        <w:t>modifiedMPR-Behaviour</w:t>
      </w:r>
      <w:r>
        <w:rPr>
          <w:rFonts w:hint="eastAsia"/>
          <w:bCs/>
          <w:sz w:val="20"/>
          <w:szCs w:val="20"/>
          <w:lang w:val="en-US" w:eastAsia="zh-CN"/>
        </w:rPr>
        <w:t xml:space="preserve"> is defined as below:</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pPr>
      <w:r>
        <w:rPr>
          <w:rFonts w:ascii="Courier New" w:hAnsi="Courier New" w:eastAsia="宋体" w:cs="Courier New"/>
          <w:color w:val="000000"/>
          <w:kern w:val="0"/>
          <w:sz w:val="16"/>
          <w:szCs w:val="16"/>
          <w:lang w:val="en-US" w:eastAsia="zh-CN" w:bidi="ar"/>
        </w:rPr>
        <w:t xml:space="preserve">modifiedMPR-Behaviour </w:t>
      </w:r>
      <w:r>
        <w:rPr>
          <w:rFonts w:hint="eastAsia" w:ascii="Courier New" w:hAnsi="Courier New" w:eastAsia="宋体" w:cs="Courier New"/>
          <w:color w:val="000000"/>
          <w:kern w:val="0"/>
          <w:sz w:val="16"/>
          <w:szCs w:val="16"/>
          <w:lang w:val="en-US" w:eastAsia="zh-CN" w:bidi="ar"/>
        </w:rPr>
        <w:t xml:space="preserve">   </w:t>
      </w:r>
      <w:r>
        <w:rPr>
          <w:rFonts w:hint="default" w:ascii="Courier New" w:hAnsi="Courier New" w:eastAsia="宋体" w:cs="Courier New"/>
          <w:color w:val="993366"/>
          <w:kern w:val="0"/>
          <w:sz w:val="16"/>
          <w:szCs w:val="16"/>
          <w:lang w:val="en-US" w:eastAsia="zh-CN" w:bidi="ar"/>
        </w:rPr>
        <w:t xml:space="preserve">BIT STRING </w:t>
      </w:r>
      <w:r>
        <w:rPr>
          <w:rFonts w:hint="default" w:ascii="Courier New" w:hAnsi="Courier New" w:eastAsia="宋体" w:cs="Courier New"/>
          <w:color w:val="000000"/>
          <w:kern w:val="0"/>
          <w:sz w:val="16"/>
          <w:szCs w:val="16"/>
          <w:lang w:val="en-US" w:eastAsia="zh-CN" w:bidi="ar"/>
        </w:rPr>
        <w:t>(</w:t>
      </w:r>
      <w:r>
        <w:rPr>
          <w:rFonts w:hint="default" w:ascii="Courier New" w:hAnsi="Courier New" w:eastAsia="宋体" w:cs="Courier New"/>
          <w:color w:val="993366"/>
          <w:kern w:val="0"/>
          <w:sz w:val="16"/>
          <w:szCs w:val="16"/>
          <w:lang w:val="en-US" w:eastAsia="zh-CN" w:bidi="ar"/>
        </w:rPr>
        <w:t xml:space="preserve">SIZE </w:t>
      </w:r>
      <w:r>
        <w:rPr>
          <w:rFonts w:hint="default" w:ascii="Courier New" w:hAnsi="Courier New" w:eastAsia="宋体" w:cs="Courier New"/>
          <w:color w:val="000000"/>
          <w:kern w:val="0"/>
          <w:sz w:val="16"/>
          <w:szCs w:val="16"/>
          <w:lang w:val="en-US" w:eastAsia="zh-CN" w:bidi="ar"/>
        </w:rPr>
        <w:t xml:space="preserve">(8)) </w:t>
      </w:r>
      <w:r>
        <w:rPr>
          <w:rFonts w:hint="eastAsia" w:ascii="Courier New" w:hAnsi="Courier New" w:eastAsia="宋体" w:cs="Courier New"/>
          <w:color w:val="000000"/>
          <w:kern w:val="0"/>
          <w:sz w:val="16"/>
          <w:szCs w:val="16"/>
          <w:lang w:val="en-US" w:eastAsia="zh-CN" w:bidi="ar"/>
        </w:rPr>
        <w:t xml:space="preserve">         </w:t>
      </w:r>
      <w:r>
        <w:rPr>
          <w:rFonts w:hint="default" w:ascii="Courier New" w:hAnsi="Courier New" w:eastAsia="宋体" w:cs="Courier New"/>
          <w:color w:val="993366"/>
          <w:kern w:val="0"/>
          <w:sz w:val="16"/>
          <w:szCs w:val="16"/>
          <w:lang w:val="en-US" w:eastAsia="zh-CN" w:bidi="ar"/>
        </w:rPr>
        <w:t>OPTIONAL</w:t>
      </w:r>
      <w:r>
        <w:rPr>
          <w:rFonts w:hint="default" w:ascii="Courier New" w:hAnsi="Courier New" w:eastAsia="宋体" w:cs="Courier New"/>
          <w:color w:val="000000"/>
          <w:kern w:val="0"/>
          <w:sz w:val="16"/>
          <w:szCs w:val="16"/>
          <w:lang w:val="en-US" w:eastAsia="zh-CN" w:bidi="ar"/>
        </w:rPr>
        <w:t>,</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bCs/>
          <w:sz w:val="20"/>
          <w:szCs w:val="20"/>
          <w:lang w:val="en-US" w:eastAsia="zh-CN"/>
        </w:rPr>
        <w:t xml:space="preserve">It can be seen that it is 8-bit signalling IE, and we think it is not allowed to set bit to absent and </w:t>
      </w:r>
      <w:r>
        <w:rPr>
          <w:rFonts w:hint="default"/>
          <w:bCs/>
          <w:sz w:val="20"/>
          <w:szCs w:val="20"/>
          <w:lang w:val="en-US" w:eastAsia="zh-CN"/>
        </w:rPr>
        <w:t>‘</w:t>
      </w:r>
      <w:r>
        <w:rPr>
          <w:rFonts w:hint="eastAsia"/>
          <w:bCs/>
          <w:sz w:val="20"/>
          <w:szCs w:val="20"/>
          <w:lang w:val="en-US" w:eastAsia="zh-CN"/>
        </w:rPr>
        <w:t>1</w:t>
      </w:r>
      <w:r>
        <w:rPr>
          <w:rFonts w:hint="default"/>
          <w:bCs/>
          <w:sz w:val="20"/>
          <w:szCs w:val="20"/>
          <w:lang w:val="en-US" w:eastAsia="zh-CN"/>
        </w:rPr>
        <w:t>’</w:t>
      </w:r>
      <w:r>
        <w:rPr>
          <w:rFonts w:hint="eastAsia"/>
          <w:bCs/>
          <w:sz w:val="20"/>
          <w:szCs w:val="20"/>
          <w:lang w:val="en-US" w:eastAsia="zh-CN"/>
        </w:rPr>
        <w:t xml:space="preserve"> or absent and </w:t>
      </w:r>
      <w:r>
        <w:rPr>
          <w:rFonts w:hint="default"/>
          <w:bCs/>
          <w:sz w:val="20"/>
          <w:szCs w:val="20"/>
          <w:lang w:val="en-US" w:eastAsia="zh-CN"/>
        </w:rPr>
        <w:t>‘</w:t>
      </w:r>
      <w:r>
        <w:rPr>
          <w:rFonts w:hint="eastAsia"/>
          <w:bCs/>
          <w:sz w:val="20"/>
          <w:szCs w:val="20"/>
          <w:lang w:val="en-US" w:eastAsia="zh-CN"/>
        </w:rPr>
        <w:t>0</w:t>
      </w:r>
      <w:r>
        <w:rPr>
          <w:rFonts w:hint="default"/>
          <w:bCs/>
          <w:sz w:val="20"/>
          <w:szCs w:val="20"/>
          <w:lang w:val="en-US" w:eastAsia="zh-CN"/>
        </w:rPr>
        <w:t>’</w:t>
      </w:r>
      <w:r>
        <w:rPr>
          <w:rFonts w:hint="eastAsia"/>
          <w:bCs/>
          <w:sz w:val="20"/>
          <w:szCs w:val="20"/>
          <w:lang w:val="en-US" w:eastAsia="zh-CN"/>
        </w:rPr>
        <w:t xml:space="preserve"> together. In others words, </w:t>
      </w:r>
      <w:r>
        <w:rPr>
          <w:rFonts w:hint="default"/>
          <w:bCs/>
          <w:sz w:val="20"/>
          <w:szCs w:val="20"/>
          <w:lang w:val="en-US" w:eastAsia="zh-CN"/>
        </w:rPr>
        <w:t>‘</w:t>
      </w:r>
      <w:r>
        <w:rPr>
          <w:rFonts w:hint="eastAsia"/>
          <w:bCs/>
          <w:sz w:val="20"/>
          <w:szCs w:val="20"/>
          <w:lang w:val="en-US" w:eastAsia="zh-CN"/>
        </w:rPr>
        <w:t>1</w:t>
      </w:r>
      <w:r>
        <w:rPr>
          <w:rFonts w:hint="default"/>
          <w:bCs/>
          <w:sz w:val="20"/>
          <w:szCs w:val="20"/>
          <w:lang w:val="en-US" w:eastAsia="zh-CN"/>
        </w:rPr>
        <w:t>’</w:t>
      </w:r>
      <w:r>
        <w:rPr>
          <w:rFonts w:hint="eastAsia"/>
          <w:bCs/>
          <w:sz w:val="20"/>
          <w:szCs w:val="20"/>
          <w:lang w:val="en-US" w:eastAsia="zh-CN"/>
        </w:rPr>
        <w:t xml:space="preserve"> shall be used together with </w:t>
      </w:r>
      <w:r>
        <w:rPr>
          <w:rFonts w:hint="default"/>
          <w:bCs/>
          <w:sz w:val="20"/>
          <w:szCs w:val="20"/>
          <w:lang w:val="en-US" w:eastAsia="zh-CN"/>
        </w:rPr>
        <w:t>‘</w:t>
      </w:r>
      <w:r>
        <w:rPr>
          <w:rFonts w:hint="eastAsia"/>
          <w:bCs/>
          <w:sz w:val="20"/>
          <w:szCs w:val="20"/>
          <w:lang w:val="en-US" w:eastAsia="zh-CN"/>
        </w:rPr>
        <w:t>0</w:t>
      </w:r>
      <w:r>
        <w:rPr>
          <w:rFonts w:hint="default"/>
          <w:bCs/>
          <w:sz w:val="20"/>
          <w:szCs w:val="20"/>
          <w:lang w:val="en-US" w:eastAsia="zh-CN"/>
        </w:rPr>
        <w:t>’</w:t>
      </w:r>
      <w:r>
        <w:rPr>
          <w:rFonts w:hint="eastAsia"/>
          <w:bCs/>
          <w:sz w:val="20"/>
          <w:szCs w:val="20"/>
          <w:lang w:val="en-US" w:eastAsia="zh-CN"/>
        </w:rPr>
        <w:t xml:space="preserve">. Absent can only be used when all the bits are set to </w:t>
      </w:r>
      <w:r>
        <w:rPr>
          <w:rFonts w:hint="default"/>
          <w:bCs/>
          <w:sz w:val="20"/>
          <w:szCs w:val="20"/>
          <w:lang w:val="en-US" w:eastAsia="zh-CN"/>
        </w:rPr>
        <w:t>‘</w:t>
      </w:r>
      <w:r>
        <w:rPr>
          <w:rFonts w:hint="eastAsia"/>
          <w:bCs/>
          <w:sz w:val="20"/>
          <w:szCs w:val="20"/>
          <w:lang w:val="en-US" w:eastAsia="zh-CN"/>
        </w:rPr>
        <w:t>0</w:t>
      </w:r>
      <w:r>
        <w:rPr>
          <w:rFonts w:hint="default"/>
          <w:bCs/>
          <w:sz w:val="20"/>
          <w:szCs w:val="20"/>
          <w:lang w:val="en-US" w:eastAsia="zh-CN"/>
        </w:rPr>
        <w:t>’</w:t>
      </w:r>
      <w:r>
        <w:rPr>
          <w:rFonts w:hint="eastAsia"/>
          <w:bCs/>
          <w:sz w:val="20"/>
          <w:szCs w:val="20"/>
          <w:lang w:val="en-US" w:eastAsia="zh-CN"/>
        </w:rPr>
        <w:t xml:space="preserve">, in this case, absent would be the same meaning as </w:t>
      </w:r>
      <w:r>
        <w:rPr>
          <w:rFonts w:hint="default"/>
          <w:bCs/>
          <w:sz w:val="20"/>
          <w:szCs w:val="20"/>
          <w:lang w:val="en-US" w:eastAsia="zh-CN"/>
        </w:rPr>
        <w:t>‘</w:t>
      </w:r>
      <w:r>
        <w:rPr>
          <w:rFonts w:hint="eastAsia"/>
          <w:bCs/>
          <w:sz w:val="20"/>
          <w:szCs w:val="20"/>
          <w:lang w:val="en-US" w:eastAsia="zh-CN"/>
        </w:rPr>
        <w:t>00000000</w:t>
      </w:r>
      <w:r>
        <w:rPr>
          <w:rFonts w:hint="default"/>
          <w:bCs/>
          <w:sz w:val="20"/>
          <w:szCs w:val="20"/>
          <w:lang w:val="en-US" w:eastAsia="zh-CN"/>
        </w:rPr>
        <w:t>’</w:t>
      </w:r>
      <w:r>
        <w:rPr>
          <w:rFonts w:hint="eastAsia"/>
          <w:bCs/>
          <w:sz w:val="20"/>
          <w:szCs w:val="20"/>
          <w:lang w:val="en-US" w:eastAsia="zh-CN"/>
        </w:rPr>
        <w:t>.</w:t>
      </w:r>
    </w:p>
    <w:p>
      <w:pPr>
        <w:keepNext/>
        <w:keepLines/>
        <w:pageBreakBefore w:val="0"/>
        <w:widowControl/>
        <w:kinsoku/>
        <w:wordWrap/>
        <w:topLinePunct w:val="0"/>
        <w:bidi w:val="0"/>
        <w:snapToGrid w:val="0"/>
        <w:spacing w:before="137" w:beforeLines="50" w:after="120" w:afterLines="50"/>
        <w:rPr>
          <w:rFonts w:hint="default"/>
          <w:bCs/>
          <w:sz w:val="20"/>
          <w:szCs w:val="20"/>
          <w:lang w:val="en-US" w:eastAsia="zh-CN"/>
        </w:rPr>
      </w:pPr>
      <w:r>
        <w:rPr>
          <w:rFonts w:hint="eastAsia"/>
          <w:bCs/>
          <w:sz w:val="20"/>
          <w:szCs w:val="20"/>
          <w:lang w:val="en-US" w:eastAsia="zh-CN"/>
        </w:rPr>
        <w:t xml:space="preserve">Therefore, in our understanding, when UE report </w:t>
      </w:r>
      <w:r>
        <w:rPr>
          <w:rFonts w:hint="eastAsia"/>
          <w:bCs/>
          <w:i/>
          <w:iCs/>
          <w:sz w:val="20"/>
          <w:szCs w:val="20"/>
          <w:lang w:val="en-US" w:eastAsia="zh-CN"/>
        </w:rPr>
        <w:t>modifiedMPR-Behaviour</w:t>
      </w:r>
      <w:r>
        <w:rPr>
          <w:rFonts w:hint="eastAsia"/>
          <w:bCs/>
          <w:sz w:val="20"/>
          <w:szCs w:val="20"/>
          <w:lang w:val="en-US" w:eastAsia="zh-CN"/>
        </w:rPr>
        <w:t xml:space="preserve"> as absent, it means all of 8 bits are </w:t>
      </w:r>
      <w:r>
        <w:rPr>
          <w:rFonts w:hint="default"/>
          <w:bCs/>
          <w:sz w:val="20"/>
          <w:szCs w:val="20"/>
          <w:lang w:val="en-US" w:eastAsia="zh-CN"/>
        </w:rPr>
        <w:t>‘</w:t>
      </w:r>
      <w:r>
        <w:rPr>
          <w:rFonts w:hint="eastAsia"/>
          <w:bCs/>
          <w:sz w:val="20"/>
          <w:szCs w:val="20"/>
          <w:lang w:val="en-US" w:eastAsia="zh-CN"/>
        </w:rPr>
        <w:t>0</w:t>
      </w:r>
      <w:r>
        <w:rPr>
          <w:rFonts w:hint="default"/>
          <w:bCs/>
          <w:sz w:val="20"/>
          <w:szCs w:val="20"/>
          <w:lang w:val="en-US" w:eastAsia="zh-CN"/>
        </w:rPr>
        <w:t>’</w:t>
      </w:r>
      <w:r>
        <w:rPr>
          <w:rFonts w:hint="eastAsia"/>
          <w:bCs/>
          <w:sz w:val="20"/>
          <w:szCs w:val="20"/>
          <w:lang w:val="en-US" w:eastAsia="zh-CN"/>
        </w:rPr>
        <w:t xml:space="preserve">, but it does not fit the </w:t>
      </w:r>
      <w:r>
        <w:rPr>
          <w:rFonts w:hint="eastAsia"/>
          <w:bCs/>
          <w:i/>
          <w:iCs/>
          <w:sz w:val="20"/>
          <w:szCs w:val="20"/>
          <w:lang w:val="en-US" w:eastAsia="zh-CN"/>
        </w:rPr>
        <w:t xml:space="preserve">modifiedMPR-Behaviour </w:t>
      </w:r>
      <w:r>
        <w:rPr>
          <w:rFonts w:hint="eastAsia"/>
          <w:bCs/>
          <w:sz w:val="20"/>
          <w:szCs w:val="20"/>
          <w:lang w:val="en-US" w:eastAsia="zh-CN"/>
        </w:rPr>
        <w:t xml:space="preserve">descriptions in the Notes, where at least one of the bit shall be set to </w:t>
      </w:r>
      <w:r>
        <w:rPr>
          <w:rFonts w:hint="default"/>
          <w:bCs/>
          <w:sz w:val="20"/>
          <w:szCs w:val="20"/>
          <w:lang w:val="en-US" w:eastAsia="zh-CN"/>
        </w:rPr>
        <w:t>‘</w:t>
      </w:r>
      <w:r>
        <w:rPr>
          <w:rFonts w:hint="eastAsia"/>
          <w:bCs/>
          <w:sz w:val="20"/>
          <w:szCs w:val="20"/>
          <w:lang w:val="en-US" w:eastAsia="zh-CN"/>
        </w:rPr>
        <w:t>1</w:t>
      </w:r>
      <w:r>
        <w:rPr>
          <w:rFonts w:hint="default"/>
          <w:bCs/>
          <w:sz w:val="20"/>
          <w:szCs w:val="20"/>
          <w:lang w:val="en-US" w:eastAsia="zh-CN"/>
        </w:rPr>
        <w:t>’</w:t>
      </w:r>
      <w:r>
        <w:rPr>
          <w:rFonts w:hint="eastAsia"/>
          <w:bCs/>
          <w:sz w:val="20"/>
          <w:szCs w:val="20"/>
          <w:lang w:val="en-US" w:eastAsia="zh-CN"/>
        </w:rPr>
        <w:t xml:space="preserve">. From this aspect, it seems UE should not report absent for IE </w:t>
      </w:r>
      <w:r>
        <w:rPr>
          <w:rFonts w:hint="eastAsia"/>
          <w:bCs/>
          <w:i/>
          <w:iCs/>
          <w:sz w:val="20"/>
          <w:szCs w:val="20"/>
          <w:lang w:val="en-US" w:eastAsia="zh-CN"/>
        </w:rPr>
        <w:t>modifiedMPR-Behaviour.</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val="0"/>
          <w:sz w:val="20"/>
          <w:szCs w:val="20"/>
          <w:lang w:val="en-US" w:eastAsia="zh-CN"/>
        </w:rPr>
      </w:pPr>
      <w:r>
        <w:rPr>
          <w:rFonts w:hint="eastAsia"/>
          <w:b/>
          <w:bCs w:val="0"/>
          <w:sz w:val="20"/>
          <w:szCs w:val="20"/>
          <w:lang w:val="en-US" w:eastAsia="zh-CN"/>
        </w:rPr>
        <w:t xml:space="preserve">Observation 3: Absent would be the same meaning as </w:t>
      </w:r>
      <w:r>
        <w:rPr>
          <w:rFonts w:hint="default"/>
          <w:b/>
          <w:bCs w:val="0"/>
          <w:sz w:val="20"/>
          <w:szCs w:val="20"/>
          <w:lang w:val="en-US" w:eastAsia="zh-CN"/>
        </w:rPr>
        <w:t>‘</w:t>
      </w:r>
      <w:r>
        <w:rPr>
          <w:rFonts w:hint="eastAsia"/>
          <w:b/>
          <w:bCs w:val="0"/>
          <w:sz w:val="20"/>
          <w:szCs w:val="20"/>
          <w:lang w:val="en-US" w:eastAsia="zh-CN"/>
        </w:rPr>
        <w:t>00000000</w:t>
      </w:r>
      <w:r>
        <w:rPr>
          <w:rFonts w:hint="default"/>
          <w:b/>
          <w:bCs w:val="0"/>
          <w:sz w:val="20"/>
          <w:szCs w:val="20"/>
          <w:lang w:val="en-US" w:eastAsia="zh-CN"/>
        </w:rPr>
        <w:t>’</w:t>
      </w:r>
      <w:r>
        <w:rPr>
          <w:rFonts w:hint="eastAsia"/>
          <w:b/>
          <w:bCs w:val="0"/>
          <w:sz w:val="20"/>
          <w:szCs w:val="20"/>
          <w:lang w:val="en-US" w:eastAsia="zh-CN"/>
        </w:rPr>
        <w:t xml:space="preserve">, but it does not fit the </w:t>
      </w:r>
      <w:r>
        <w:rPr>
          <w:rFonts w:hint="eastAsia"/>
          <w:b/>
          <w:bCs w:val="0"/>
          <w:i/>
          <w:iCs/>
          <w:sz w:val="20"/>
          <w:szCs w:val="20"/>
          <w:lang w:val="en-US" w:eastAsia="zh-CN"/>
        </w:rPr>
        <w:t>modifiedMPR-Behaviour</w:t>
      </w:r>
      <w:r>
        <w:rPr>
          <w:rFonts w:hint="eastAsia"/>
          <w:b/>
          <w:bCs w:val="0"/>
          <w:sz w:val="20"/>
          <w:szCs w:val="20"/>
          <w:lang w:val="en-US" w:eastAsia="zh-CN"/>
        </w:rPr>
        <w:t xml:space="preserve"> descriptions in the Notes, UE should not report absent for IE </w:t>
      </w:r>
      <w:r>
        <w:rPr>
          <w:rFonts w:hint="eastAsia"/>
          <w:b/>
          <w:bCs w:val="0"/>
          <w:i/>
          <w:iCs/>
          <w:sz w:val="20"/>
          <w:szCs w:val="20"/>
          <w:lang w:val="en-US" w:eastAsia="zh-CN"/>
        </w:rPr>
        <w:t>modifiedMPR-Behaviour</w:t>
      </w:r>
      <w:r>
        <w:rPr>
          <w:rFonts w:hint="eastAsia"/>
          <w:b/>
          <w:bCs w:val="0"/>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sz w:val="20"/>
          <w:szCs w:val="20"/>
          <w:lang w:val="en-US" w:eastAsia="zh-CN" w:bidi="ar-SA"/>
        </w:rPr>
      </w:pPr>
      <w:r>
        <w:rPr>
          <w:rFonts w:hint="eastAsia" w:eastAsia="等线" w:cs="Times New Roman"/>
          <w:sz w:val="20"/>
          <w:szCs w:val="20"/>
          <w:lang w:val="en-US" w:eastAsia="zh-CN" w:bidi="ar-SA"/>
        </w:rPr>
        <w:t xml:space="preserve">While bit </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0</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 xml:space="preserve"> can be understood well, which means the corresponding A-MPR/MPR requirements in a certain version cannot be used, instead updated/new A-MPR/MPR requirements should be used in the case of the other bit is set to </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1</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 xml:space="preserve">, and we think NW can also understand well when UE report/set a certain bit to </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0</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 xml:space="preserv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val="0"/>
          <w:sz w:val="20"/>
          <w:szCs w:val="20"/>
          <w:lang w:val="en-US" w:eastAsia="zh-CN"/>
        </w:rPr>
      </w:pPr>
      <w:r>
        <w:rPr>
          <w:rFonts w:hint="eastAsia"/>
          <w:b/>
          <w:bCs w:val="0"/>
          <w:sz w:val="20"/>
          <w:szCs w:val="20"/>
          <w:lang w:val="en-US" w:eastAsia="zh-CN"/>
        </w:rPr>
        <w:t xml:space="preserve">Observation 4: Bit </w:t>
      </w:r>
      <w:r>
        <w:rPr>
          <w:rFonts w:hint="default"/>
          <w:b/>
          <w:bCs w:val="0"/>
          <w:sz w:val="20"/>
          <w:szCs w:val="20"/>
          <w:lang w:val="en-US" w:eastAsia="zh-CN"/>
        </w:rPr>
        <w:t>‘</w:t>
      </w:r>
      <w:r>
        <w:rPr>
          <w:rFonts w:hint="eastAsia"/>
          <w:b/>
          <w:bCs w:val="0"/>
          <w:sz w:val="20"/>
          <w:szCs w:val="20"/>
          <w:lang w:val="en-US" w:eastAsia="zh-CN"/>
        </w:rPr>
        <w:t>0</w:t>
      </w:r>
      <w:r>
        <w:rPr>
          <w:rFonts w:hint="default"/>
          <w:b/>
          <w:bCs w:val="0"/>
          <w:sz w:val="20"/>
          <w:szCs w:val="20"/>
          <w:lang w:val="en-US" w:eastAsia="zh-CN"/>
        </w:rPr>
        <w:t>’</w:t>
      </w:r>
      <w:r>
        <w:rPr>
          <w:rFonts w:hint="eastAsia"/>
          <w:b/>
          <w:bCs w:val="0"/>
          <w:sz w:val="20"/>
          <w:szCs w:val="20"/>
          <w:lang w:val="en-US" w:eastAsia="zh-CN"/>
        </w:rPr>
        <w:t xml:space="preserve"> means the corresponding A-MPR/MPR requirements in a certain version cannot be met.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sz w:val="20"/>
          <w:szCs w:val="20"/>
          <w:lang w:val="en-US" w:eastAsia="zh-CN" w:bidi="ar-SA"/>
        </w:rPr>
      </w:pPr>
      <w:r>
        <w:rPr>
          <w:rFonts w:hint="eastAsia" w:eastAsia="等线" w:cs="Times New Roman"/>
          <w:sz w:val="20"/>
          <w:szCs w:val="20"/>
          <w:lang w:val="en-US" w:eastAsia="zh-CN" w:bidi="ar-SA"/>
        </w:rPr>
        <w:t xml:space="preserve">However, NW may feel confusion if more than 1bit are mandatory set to </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1</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 xml:space="preserve"> at the same time.</w:t>
      </w:r>
    </w:p>
    <w:p>
      <w:pPr>
        <w:pStyle w:val="35"/>
        <w:keepNext/>
        <w:keepLines/>
        <w:pageBreakBefore w:val="0"/>
        <w:widowControl/>
        <w:numPr>
          <w:ilvl w:val="0"/>
          <w:numId w:val="7"/>
        </w:numPr>
        <w:kinsoku/>
        <w:wordWrap/>
        <w:topLinePunct w:val="0"/>
        <w:bidi w:val="0"/>
        <w:ind w:firstLineChars="0"/>
        <w:rPr>
          <w:bCs/>
          <w:sz w:val="20"/>
          <w:szCs w:val="20"/>
        </w:rPr>
      </w:pPr>
      <w:r>
        <w:rPr>
          <w:bCs/>
          <w:sz w:val="20"/>
          <w:szCs w:val="20"/>
        </w:rPr>
        <w:t>Check if the spec version number can be removed from next release.</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eastAsia="等线" w:cs="Times New Roman"/>
          <w:sz w:val="20"/>
          <w:szCs w:val="20"/>
          <w:lang w:val="en-US" w:eastAsia="zh-CN" w:bidi="ar-SA"/>
        </w:rPr>
        <w:t xml:space="preserve">As mentioned above, when the new </w:t>
      </w:r>
      <w:r>
        <w:rPr>
          <w:bCs/>
          <w:sz w:val="20"/>
          <w:szCs w:val="20"/>
          <w:lang w:val="en-US" w:eastAsia="zh-CN"/>
        </w:rPr>
        <w:t>regulation</w:t>
      </w:r>
      <w:r>
        <w:rPr>
          <w:rFonts w:hint="eastAsia"/>
          <w:bCs/>
          <w:sz w:val="20"/>
          <w:szCs w:val="20"/>
          <w:lang w:val="en-US" w:eastAsia="zh-CN"/>
        </w:rPr>
        <w:t xml:space="preserve"> requirements are introduced, then new emission requirements and the corresponding MPR/A-MPR requirements may need to be introduced and implemented via </w:t>
      </w:r>
      <w:r>
        <w:rPr>
          <w:bCs/>
          <w:i/>
          <w:iCs/>
          <w:sz w:val="20"/>
          <w:szCs w:val="20"/>
          <w:lang w:val="en-US" w:eastAsia="zh-CN"/>
        </w:rPr>
        <w:t>ModifiedMPR-Behavio</w:t>
      </w:r>
      <w:r>
        <w:rPr>
          <w:rFonts w:hint="eastAsia"/>
          <w:bCs/>
          <w:i/>
          <w:iCs/>
          <w:sz w:val="20"/>
          <w:szCs w:val="20"/>
          <w:lang w:val="en-US" w:eastAsia="zh-CN"/>
        </w:rPr>
        <w:t>u</w:t>
      </w:r>
      <w:r>
        <w:rPr>
          <w:bCs/>
          <w:i/>
          <w:iCs/>
          <w:sz w:val="20"/>
          <w:szCs w:val="20"/>
          <w:lang w:val="en-US" w:eastAsia="zh-CN"/>
        </w:rPr>
        <w:t>r</w:t>
      </w:r>
      <w:r>
        <w:rPr>
          <w:rFonts w:hint="eastAsia"/>
          <w:bCs/>
          <w:sz w:val="20"/>
          <w:szCs w:val="20"/>
          <w:lang w:val="en-US" w:eastAsia="zh-CN"/>
        </w:rPr>
        <w:t xml:space="preserve"> approach.</w:t>
      </w:r>
    </w:p>
    <w:p>
      <w:pPr>
        <w:keepNext/>
        <w:keepLines/>
        <w:pageBreakBefore w:val="0"/>
        <w:widowControl/>
        <w:kinsoku/>
        <w:wordWrap/>
        <w:topLinePunct w:val="0"/>
        <w:bidi w:val="0"/>
        <w:snapToGrid w:val="0"/>
        <w:spacing w:before="137" w:beforeLines="50" w:after="120" w:afterLines="50"/>
        <w:rPr>
          <w:rFonts w:hint="default"/>
          <w:bCs/>
          <w:sz w:val="20"/>
          <w:szCs w:val="20"/>
          <w:lang w:val="en-US" w:eastAsia="zh-CN"/>
        </w:rPr>
      </w:pPr>
      <w:r>
        <w:rPr>
          <w:rFonts w:hint="eastAsia" w:eastAsia="等线" w:cs="Times New Roman"/>
          <w:sz w:val="20"/>
          <w:szCs w:val="20"/>
          <w:lang w:val="en-US" w:eastAsia="zh-CN" w:bidi="ar-SA"/>
        </w:rPr>
        <w:t xml:space="preserve">In general, the </w:t>
      </w:r>
      <w:r>
        <w:rPr>
          <w:rFonts w:hint="eastAsia"/>
          <w:bCs/>
          <w:sz w:val="20"/>
          <w:szCs w:val="20"/>
          <w:lang w:val="en-US" w:eastAsia="zh-CN"/>
        </w:rPr>
        <w:t>new emission requirements and the corresponding MPR/A-MPR requirements will be introduced together in a certain specification version (for example: 19.0.0), and of course, these new requirements are in the next release of this version (for example: 19.1.0.).</w:t>
      </w:r>
    </w:p>
    <w:p>
      <w:pPr>
        <w:keepNext/>
        <w:keepLines/>
        <w:pageBreakBefore w:val="0"/>
        <w:widowControl/>
        <w:kinsoku/>
        <w:wordWrap/>
        <w:topLinePunct w:val="0"/>
        <w:bidi w:val="0"/>
        <w:snapToGrid w:val="0"/>
        <w:spacing w:before="137" w:beforeLines="50" w:after="120" w:afterLines="50"/>
        <w:rPr>
          <w:rFonts w:hint="default" w:eastAsia="宋体"/>
          <w:bCs/>
          <w:sz w:val="20"/>
          <w:szCs w:val="20"/>
          <w:lang w:val="en-US" w:eastAsia="zh-CN"/>
        </w:rPr>
      </w:pPr>
      <w:r>
        <w:rPr>
          <w:rFonts w:hint="eastAsia"/>
          <w:bCs/>
          <w:sz w:val="20"/>
          <w:szCs w:val="20"/>
          <w:lang w:val="en-US" w:eastAsia="zh-CN"/>
        </w:rPr>
        <w:t>Ideally, UE must obey these new requirements from this version onwards unless</w:t>
      </w:r>
      <w:r>
        <w:rPr>
          <w:bCs/>
          <w:sz w:val="20"/>
          <w:szCs w:val="20"/>
        </w:rPr>
        <w:t xml:space="preserve"> the requirements are changed </w:t>
      </w:r>
      <w:r>
        <w:rPr>
          <w:rFonts w:hint="eastAsia"/>
          <w:bCs/>
          <w:sz w:val="20"/>
          <w:szCs w:val="20"/>
          <w:lang w:val="en-US" w:eastAsia="zh-CN"/>
        </w:rPr>
        <w:t>again.</w:t>
      </w:r>
    </w:p>
    <w:p>
      <w:pPr>
        <w:keepNext/>
        <w:keepLines/>
        <w:pageBreakBefore w:val="0"/>
        <w:widowControl/>
        <w:kinsoku/>
        <w:wordWrap/>
        <w:topLinePunct w:val="0"/>
        <w:bidi w:val="0"/>
        <w:snapToGrid w:val="0"/>
        <w:spacing w:before="137" w:beforeLines="50" w:after="120" w:afterLines="50"/>
        <w:rPr>
          <w:rFonts w:hint="eastAsia" w:eastAsia="宋体"/>
          <w:bCs/>
          <w:sz w:val="20"/>
          <w:szCs w:val="20"/>
          <w:lang w:val="en-US" w:eastAsia="zh-CN"/>
        </w:rPr>
      </w:pPr>
      <w:r>
        <w:rPr>
          <w:rFonts w:hint="eastAsia"/>
          <w:bCs/>
          <w:sz w:val="20"/>
          <w:szCs w:val="20"/>
          <w:lang w:val="en-US" w:eastAsia="zh-CN"/>
        </w:rPr>
        <w:t xml:space="preserve">Although keeping the </w:t>
      </w:r>
      <w:r>
        <w:rPr>
          <w:bCs/>
          <w:sz w:val="20"/>
          <w:szCs w:val="20"/>
        </w:rPr>
        <w:t xml:space="preserve">spec version number </w:t>
      </w:r>
      <w:r>
        <w:rPr>
          <w:rFonts w:hint="eastAsia"/>
          <w:bCs/>
          <w:sz w:val="20"/>
          <w:szCs w:val="20"/>
          <w:lang w:val="en-US" w:eastAsia="zh-CN"/>
        </w:rPr>
        <w:t>in</w:t>
      </w:r>
      <w:r>
        <w:rPr>
          <w:bCs/>
          <w:sz w:val="20"/>
          <w:szCs w:val="20"/>
        </w:rPr>
        <w:t xml:space="preserve"> </w:t>
      </w:r>
      <w:r>
        <w:rPr>
          <w:rFonts w:hint="eastAsia"/>
          <w:bCs/>
          <w:sz w:val="20"/>
          <w:szCs w:val="20"/>
          <w:lang w:val="en-US" w:eastAsia="zh-CN"/>
        </w:rPr>
        <w:t xml:space="preserve">the </w:t>
      </w:r>
      <w:r>
        <w:rPr>
          <w:bCs/>
          <w:sz w:val="20"/>
          <w:szCs w:val="20"/>
        </w:rPr>
        <w:t>release</w:t>
      </w:r>
      <w:r>
        <w:rPr>
          <w:rFonts w:hint="eastAsia"/>
          <w:bCs/>
          <w:sz w:val="20"/>
          <w:szCs w:val="20"/>
          <w:lang w:val="en-US" w:eastAsia="zh-CN"/>
        </w:rPr>
        <w:t xml:space="preserve"> version onwards can provide the information when the requirements are updated/introduced, it seems it may cause confusion or readability problem for the people who may still refer back to the old release version to check the requirement and may raise some questions such as whether there are difference between the old version and latest version. Also if people provide CR to correct the requirements but the CR is not allowed for the old/frozen version(s), then it would cause misalignment between versions and also would cause confusion which ones should be used. In this case, we think it would be workable to refer to the latest version. Thus we slight prefer to remove the </w:t>
      </w:r>
      <w:r>
        <w:rPr>
          <w:bCs/>
          <w:sz w:val="20"/>
          <w:szCs w:val="20"/>
        </w:rPr>
        <w:t>spec version number from next release</w:t>
      </w:r>
      <w:r>
        <w:rPr>
          <w:rFonts w:hint="eastAsia"/>
          <w:bCs/>
          <w:sz w:val="20"/>
          <w:szCs w:val="20"/>
          <w:lang w:val="en-US" w:eastAsia="zh-CN"/>
        </w:rPr>
        <w:t>.</w:t>
      </w:r>
    </w:p>
    <w:p>
      <w:pPr>
        <w:keepNext/>
        <w:keepLines/>
        <w:pageBreakBefore w:val="0"/>
        <w:widowControl/>
        <w:kinsoku/>
        <w:wordWrap/>
        <w:topLinePunct w:val="0"/>
        <w:bidi w:val="0"/>
        <w:snapToGrid w:val="0"/>
        <w:spacing w:before="137" w:beforeLines="50" w:after="120" w:afterLines="50"/>
        <w:rPr>
          <w:rFonts w:hint="eastAsia" w:eastAsia="宋体"/>
          <w:bCs/>
          <w:sz w:val="20"/>
          <w:szCs w:val="20"/>
          <w:lang w:val="en-US" w:eastAsia="zh-CN"/>
        </w:rPr>
      </w:pPr>
      <w:r>
        <w:rPr>
          <w:rFonts w:hint="eastAsia"/>
          <w:b/>
          <w:bCs w:val="0"/>
          <w:sz w:val="20"/>
          <w:szCs w:val="20"/>
          <w:lang w:val="en-US" w:eastAsia="zh-CN"/>
        </w:rPr>
        <w:t xml:space="preserve">Proposal 2: We slight prefer to remove the </w:t>
      </w:r>
      <w:r>
        <w:rPr>
          <w:b/>
          <w:bCs w:val="0"/>
          <w:sz w:val="20"/>
          <w:szCs w:val="20"/>
        </w:rPr>
        <w:t>spec version number from next release</w:t>
      </w:r>
      <w:r>
        <w:rPr>
          <w:rFonts w:hint="eastAsia"/>
          <w:b/>
          <w:bCs w:val="0"/>
          <w:sz w:val="20"/>
          <w:szCs w:val="20"/>
          <w:lang w:val="en-US" w:eastAsia="zh-CN"/>
        </w:rPr>
        <w:t>.</w:t>
      </w:r>
    </w:p>
    <w:p>
      <w:pPr>
        <w:keepNext/>
        <w:keepLines/>
        <w:pageBreakBefore w:val="0"/>
        <w:widowControl/>
        <w:numPr>
          <w:ilvl w:val="0"/>
          <w:numId w:val="9"/>
        </w:numPr>
        <w:kinsoku/>
        <w:wordWrap/>
        <w:topLinePunct w:val="0"/>
        <w:bidi w:val="0"/>
        <w:snapToGrid w:val="0"/>
        <w:spacing w:before="137" w:beforeLines="50" w:after="120" w:afterLines="50"/>
        <w:ind w:left="420" w:leftChars="0" w:hanging="420" w:firstLineChars="0"/>
        <w:rPr>
          <w:rFonts w:hint="eastAsia" w:ascii="Times New Roman" w:hAnsi="Times New Roman" w:eastAsia="Times New Roman" w:cs="Times New Roman"/>
          <w:bCs/>
          <w:kern w:val="2"/>
          <w:sz w:val="20"/>
          <w:szCs w:val="20"/>
          <w:lang w:val="en-US" w:eastAsia="zh-CN" w:bidi="ar-SA"/>
        </w:rPr>
      </w:pPr>
      <w:r>
        <w:rPr>
          <w:rFonts w:hint="eastAsia" w:ascii="Times New Roman" w:hAnsi="Times New Roman" w:eastAsia="Times New Roman" w:cs="Times New Roman"/>
          <w:bCs/>
          <w:kern w:val="2"/>
          <w:sz w:val="20"/>
          <w:szCs w:val="20"/>
          <w:lang w:val="en-US" w:eastAsia="zh-CN" w:bidi="ar-SA"/>
        </w:rPr>
        <w:t>C</w:t>
      </w:r>
      <w:r>
        <w:rPr>
          <w:rFonts w:ascii="Times New Roman" w:hAnsi="Times New Roman" w:eastAsia="Times New Roman" w:cs="Times New Roman"/>
          <w:bCs/>
          <w:kern w:val="2"/>
          <w:sz w:val="20"/>
          <w:szCs w:val="20"/>
          <w:lang w:val="en-US" w:eastAsia="zh-CN" w:bidi="ar-SA"/>
        </w:rPr>
        <w:t>heck if the requirements are changed several times, how to handle the legacy bits.</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bCs/>
          <w:sz w:val="20"/>
          <w:szCs w:val="20"/>
          <w:lang w:val="en-US" w:eastAsia="zh-CN"/>
        </w:rPr>
        <w:t xml:space="preserve">It is not desirable that the requirements are changed overtimes. According to the current approach, once the new MPR/A-MPR requirements are introduced due to the new regulation emission requirements, then the corresponding bit shall be set to </w:t>
      </w:r>
      <w:r>
        <w:rPr>
          <w:rFonts w:hint="default"/>
          <w:bCs/>
          <w:sz w:val="20"/>
          <w:szCs w:val="20"/>
          <w:lang w:val="en-US" w:eastAsia="zh-CN"/>
        </w:rPr>
        <w:t>‘</w:t>
      </w:r>
      <w:r>
        <w:rPr>
          <w:rFonts w:hint="eastAsia"/>
          <w:bCs/>
          <w:sz w:val="20"/>
          <w:szCs w:val="20"/>
          <w:lang w:val="en-US" w:eastAsia="zh-CN"/>
        </w:rPr>
        <w:t>1</w:t>
      </w:r>
      <w:r>
        <w:rPr>
          <w:rFonts w:hint="default"/>
          <w:bCs/>
          <w:sz w:val="20"/>
          <w:szCs w:val="20"/>
          <w:lang w:val="en-US" w:eastAsia="zh-CN"/>
        </w:rPr>
        <w:t>’</w:t>
      </w:r>
      <w:r>
        <w:rPr>
          <w:rFonts w:hint="eastAsia"/>
          <w:bCs/>
          <w:sz w:val="20"/>
          <w:szCs w:val="20"/>
          <w:lang w:val="en-US" w:eastAsia="zh-CN"/>
        </w:rPr>
        <w:t xml:space="preserve"> in </w:t>
      </w:r>
      <w:r>
        <w:rPr>
          <w:rFonts w:hint="eastAsia"/>
          <w:bCs/>
          <w:i/>
          <w:iCs/>
          <w:sz w:val="20"/>
          <w:szCs w:val="20"/>
          <w:lang w:val="en-US" w:eastAsia="zh-CN"/>
        </w:rPr>
        <w:t xml:space="preserve">modifiedMPR-Behaviour </w:t>
      </w:r>
      <w:r>
        <w:rPr>
          <w:rFonts w:hint="eastAsia"/>
          <w:bCs/>
          <w:i w:val="0"/>
          <w:iCs w:val="0"/>
          <w:sz w:val="20"/>
          <w:szCs w:val="20"/>
          <w:lang w:val="en-US" w:eastAsia="zh-CN"/>
        </w:rPr>
        <w:t xml:space="preserve">filed </w:t>
      </w:r>
      <w:r>
        <w:rPr>
          <w:rFonts w:hint="eastAsia"/>
          <w:bCs/>
          <w:sz w:val="20"/>
          <w:szCs w:val="20"/>
          <w:lang w:val="en-US" w:eastAsia="zh-CN"/>
        </w:rPr>
        <w:t xml:space="preserve">to indicate UE must meet the new regulation emission requirements with the new MPR/A-MPR requirements from the release version onwards. For the backwards release, we think it should allow UEs to optionally meet the new MPR/A-MPR requirements, i.e. </w:t>
      </w:r>
      <w:r>
        <w:rPr>
          <w:rFonts w:hint="default"/>
          <w:bCs/>
          <w:sz w:val="20"/>
          <w:szCs w:val="20"/>
          <w:lang w:val="en-US" w:eastAsia="zh-CN"/>
        </w:rPr>
        <w:t>‘</w:t>
      </w:r>
      <w:r>
        <w:rPr>
          <w:rFonts w:hint="eastAsia"/>
          <w:bCs/>
          <w:sz w:val="20"/>
          <w:szCs w:val="20"/>
          <w:lang w:val="en-US" w:eastAsia="zh-CN"/>
        </w:rPr>
        <w:t>shall</w:t>
      </w:r>
      <w:r>
        <w:rPr>
          <w:rFonts w:hint="default"/>
          <w:bCs/>
          <w:sz w:val="20"/>
          <w:szCs w:val="20"/>
          <w:lang w:val="en-US" w:eastAsia="zh-CN"/>
        </w:rPr>
        <w:t>’</w:t>
      </w:r>
      <w:r>
        <w:rPr>
          <w:rFonts w:hint="eastAsia"/>
          <w:bCs/>
          <w:sz w:val="20"/>
          <w:szCs w:val="20"/>
          <w:lang w:val="en-US" w:eastAsia="zh-CN"/>
        </w:rPr>
        <w:t xml:space="preserve"> should be correct to </w:t>
      </w:r>
      <w:r>
        <w:rPr>
          <w:rFonts w:hint="default"/>
          <w:bCs/>
          <w:sz w:val="20"/>
          <w:szCs w:val="20"/>
          <w:lang w:val="en-US" w:eastAsia="zh-CN"/>
        </w:rPr>
        <w:t>‘</w:t>
      </w:r>
      <w:r>
        <w:rPr>
          <w:rFonts w:hint="eastAsia"/>
          <w:bCs/>
          <w:sz w:val="20"/>
          <w:szCs w:val="20"/>
          <w:lang w:val="en-US" w:eastAsia="zh-CN"/>
        </w:rPr>
        <w:t>may</w:t>
      </w:r>
      <w:r>
        <w:rPr>
          <w:rFonts w:hint="default"/>
          <w:bCs/>
          <w:sz w:val="20"/>
          <w:szCs w:val="20"/>
          <w:lang w:val="en-US" w:eastAsia="zh-CN"/>
        </w:rPr>
        <w:t>’</w:t>
      </w:r>
      <w:r>
        <w:rPr>
          <w:rFonts w:hint="eastAsia"/>
          <w:bCs/>
          <w:sz w:val="20"/>
          <w:szCs w:val="20"/>
          <w:lang w:val="en-US" w:eastAsia="zh-CN"/>
        </w:rPr>
        <w:t xml:space="preserve"> in TS38.101-1.</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bCs/>
          <w:sz w:val="20"/>
          <w:szCs w:val="20"/>
          <w:lang w:val="en-US" w:eastAsia="zh-CN"/>
        </w:rPr>
        <w:t>For TS38.101-2, due to new NS value approach was adopted, so in the backwards release, UEs shall meet the new MPR/A-MPR requirements siganlled by new NS_xx, see the following EESS n258 example when bit number #3 and #4 were introduced.</w:t>
      </w:r>
    </w:p>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bCs/>
          <w:sz w:val="20"/>
          <w:szCs w:val="20"/>
          <w:lang w:val="en-US" w:eastAsia="zh-CN"/>
        </w:rPr>
        <w:t>Rel-15~Rel-18:</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39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Band</w:t>
            </w:r>
          </w:p>
        </w:tc>
        <w:tc>
          <w:tcPr>
            <w:tcW w:w="157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Index of field</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bCs/>
                <w:sz w:val="18"/>
                <w:lang w:val="en-GB" w:eastAsia="en-US" w:bidi="ar-SA"/>
              </w:rPr>
              <w:t>(bit number)</w:t>
            </w:r>
          </w:p>
        </w:tc>
        <w:tc>
          <w:tcPr>
            <w:tcW w:w="421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Definition</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bCs/>
                <w:sz w:val="18"/>
                <w:lang w:val="en-GB" w:eastAsia="en-US" w:bidi="ar-SA"/>
              </w:rPr>
            </w:pPr>
            <w:r>
              <w:rPr>
                <w:rFonts w:ascii="Arial" w:hAnsi="Arial" w:eastAsia="Times New Roman" w:cs="Times New Roman"/>
                <w:b/>
                <w:bCs/>
                <w:sz w:val="18"/>
                <w:lang w:val="en-GB" w:eastAsia="en-US" w:bidi="ar-SA"/>
              </w:rPr>
              <w:t>(description of the supported functionality if indicator set to one)</w:t>
            </w:r>
          </w:p>
        </w:tc>
        <w:tc>
          <w:tcPr>
            <w:tcW w:w="2439"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96"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w:t>
            </w:r>
          </w:p>
        </w:tc>
        <w:tc>
          <w:tcPr>
            <w:tcW w:w="157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0 (leftmost bit)</w:t>
            </w:r>
          </w:p>
        </w:tc>
        <w:tc>
          <w:tcPr>
            <w:tcW w:w="421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FR2 power class 3 MPR as defined in clause </w:t>
            </w:r>
            <w:r>
              <w:rPr>
                <w:rFonts w:ascii="Arial" w:hAnsi="Arial" w:eastAsia="Times New Roman" w:cs="Times New Roman"/>
                <w:sz w:val="18"/>
                <w:lang w:val="en-GB" w:eastAsia="en-US" w:bidi="ar-SA"/>
              </w:rPr>
              <w:t>6.2.2.3</w:t>
            </w:r>
            <w:r>
              <w:rPr>
                <w:rFonts w:ascii="Arial" w:hAnsi="Arial" w:eastAsia="Times New Roman" w:cs="Arial"/>
                <w:sz w:val="18"/>
                <w:lang w:val="en-GB" w:eastAsia="en-US" w:bidi="ar-SA"/>
              </w:rPr>
              <w:t xml:space="preserve"> of 38.101-2 v16.2.0 onwards</w:t>
            </w:r>
          </w:p>
        </w:tc>
        <w:tc>
          <w:tcPr>
            <w:tcW w:w="2439"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may be set to 1 by a UE supporting </w:t>
            </w:r>
            <w:r>
              <w:rPr>
                <w:rFonts w:ascii="Arial" w:hAnsi="Arial" w:eastAsia="Times New Roman" w:cs="Times New Roman"/>
                <w:sz w:val="18"/>
                <w:lang w:val="en-GB" w:eastAsia="en-US" w:bidi="ar-SA"/>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1</w:t>
            </w:r>
          </w:p>
        </w:tc>
        <w:tc>
          <w:tcPr>
            <w:tcW w:w="421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Void</w:t>
            </w:r>
          </w:p>
        </w:tc>
        <w:tc>
          <w:tcPr>
            <w:tcW w:w="2439"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2</w:t>
            </w:r>
          </w:p>
        </w:tc>
        <w:tc>
          <w:tcPr>
            <w:tcW w:w="421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NS_203 as defined in clause </w:t>
            </w:r>
            <w:r>
              <w:rPr>
                <w:rFonts w:ascii="Arial" w:hAnsi="Arial" w:eastAsia="Times New Roman" w:cs="Times New Roman"/>
                <w:sz w:val="18"/>
                <w:lang w:val="en-GB" w:eastAsia="en-US" w:bidi="ar-SA"/>
              </w:rPr>
              <w:t xml:space="preserve">6.5.3.2.4 </w:t>
            </w:r>
            <w:r>
              <w:rPr>
                <w:rFonts w:ascii="Arial" w:hAnsi="Arial" w:eastAsia="Times New Roman" w:cs="Arial"/>
                <w:sz w:val="18"/>
                <w:lang w:val="en-GB" w:eastAsia="en-US" w:bidi="ar-SA"/>
              </w:rPr>
              <w:t xml:space="preserve">or both NS_203 and CA_NS_203 as defined in clause </w:t>
            </w:r>
            <w:r>
              <w:rPr>
                <w:rFonts w:ascii="Arial" w:hAnsi="Arial" w:eastAsia="Times New Roman" w:cs="Times New Roman"/>
                <w:sz w:val="18"/>
                <w:lang w:val="en-GB" w:eastAsia="en-US" w:bidi="ar-SA"/>
              </w:rPr>
              <w:t xml:space="preserve">6.5A.3.2.4 </w:t>
            </w:r>
            <w:r>
              <w:rPr>
                <w:rFonts w:ascii="Arial" w:hAnsi="Arial" w:eastAsia="Times New Roman" w:cs="Arial"/>
                <w:sz w:val="18"/>
                <w:lang w:val="en-GB" w:eastAsia="en-US" w:bidi="ar-SA"/>
              </w:rPr>
              <w:t>of 38.101-2 v15.12.0</w:t>
            </w:r>
          </w:p>
        </w:tc>
        <w:tc>
          <w:tcPr>
            <w:tcW w:w="2439"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w:t>
            </w:r>
            <w:r>
              <w:rPr>
                <w:rFonts w:ascii="Arial" w:hAnsi="Arial" w:eastAsia="Times New Roman" w:cs="Arial"/>
                <w:sz w:val="18"/>
                <w:highlight w:val="yellow"/>
                <w:lang w:val="en-GB" w:eastAsia="en-US" w:bidi="ar-SA"/>
              </w:rPr>
              <w:t>shall be</w:t>
            </w:r>
            <w:r>
              <w:rPr>
                <w:rFonts w:ascii="Arial" w:hAnsi="Arial" w:eastAsia="Times New Roman" w:cs="Arial"/>
                <w:sz w:val="18"/>
                <w:lang w:val="en-GB" w:eastAsia="en-US" w:bidi="ar-SA"/>
              </w:rPr>
              <w:t xml:space="preserve"> set to 1 by a UE supporting </w:t>
            </w:r>
            <w:r>
              <w:rPr>
                <w:rFonts w:ascii="Arial" w:hAnsi="Arial" w:eastAsia="Times New Roman" w:cs="Times New Roman"/>
                <w:sz w:val="18"/>
                <w:lang w:val="en-GB" w:eastAsia="en-US" w:bidi="ar-SA"/>
              </w:rP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hint="eastAsia" w:ascii="Arial" w:hAnsi="Arial" w:eastAsia="Times New Roman" w:cs="Arial"/>
                <w:sz w:val="18"/>
                <w:lang w:val="en-GB" w:eastAsia="zh-CN" w:bidi="ar-SA"/>
              </w:rPr>
              <w:t>3</w:t>
            </w:r>
          </w:p>
        </w:tc>
        <w:tc>
          <w:tcPr>
            <w:tcW w:w="421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NS_202 as defined in clause </w:t>
            </w:r>
            <w:r>
              <w:rPr>
                <w:rFonts w:ascii="Arial" w:hAnsi="Arial" w:eastAsia="Times New Roman" w:cs="Times New Roman"/>
                <w:sz w:val="18"/>
                <w:lang w:val="en-GB" w:eastAsia="en-US" w:bidi="ar-SA"/>
              </w:rPr>
              <w:t xml:space="preserve">6.5.3.2.3 </w:t>
            </w:r>
            <w:r>
              <w:rPr>
                <w:rFonts w:ascii="Arial" w:hAnsi="Arial" w:eastAsia="Times New Roman" w:cs="Arial"/>
                <w:sz w:val="18"/>
                <w:lang w:val="en-GB" w:eastAsia="en-US" w:bidi="ar-SA"/>
              </w:rPr>
              <w:t xml:space="preserve">or both NS_202 and CA_NS_202 as defined in clause </w:t>
            </w:r>
            <w:r>
              <w:rPr>
                <w:rFonts w:ascii="Arial" w:hAnsi="Arial" w:eastAsia="Times New Roman" w:cs="Times New Roman"/>
                <w:sz w:val="18"/>
                <w:lang w:val="en-GB" w:eastAsia="en-US" w:bidi="ar-SA"/>
              </w:rPr>
              <w:t>6.5A.3.2.3</w:t>
            </w:r>
          </w:p>
        </w:tc>
        <w:tc>
          <w:tcPr>
            <w:tcW w:w="2439"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w:t>
            </w:r>
            <w:r>
              <w:rPr>
                <w:rFonts w:ascii="Arial" w:hAnsi="Arial" w:eastAsia="Times New Roman" w:cs="Arial"/>
                <w:sz w:val="18"/>
                <w:highlight w:val="yellow"/>
                <w:lang w:val="en-GB" w:eastAsia="en-US" w:bidi="ar-SA"/>
              </w:rPr>
              <w:t>shall be</w:t>
            </w:r>
            <w:r>
              <w:rPr>
                <w:rFonts w:ascii="Arial" w:hAnsi="Arial" w:eastAsia="Times New Roman" w:cs="Arial"/>
                <w:sz w:val="18"/>
                <w:lang w:val="en-GB" w:eastAsia="en-US" w:bidi="ar-SA"/>
              </w:rPr>
              <w:t xml:space="preserve"> set to 1 by a UE supporting 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96"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sz w:val="18"/>
                <w:lang w:val="en-GB" w:eastAsia="en-US" w:bidi="ar-SA"/>
              </w:rPr>
            </w:pPr>
          </w:p>
        </w:tc>
        <w:tc>
          <w:tcPr>
            <w:tcW w:w="1576"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hint="eastAsia" w:ascii="Arial" w:hAnsi="Arial" w:eastAsia="Times New Roman" w:cs="Arial"/>
                <w:sz w:val="18"/>
                <w:lang w:val="en-GB" w:eastAsia="zh-CN" w:bidi="ar-SA"/>
              </w:rPr>
              <w:t>4</w:t>
            </w:r>
          </w:p>
        </w:tc>
        <w:tc>
          <w:tcPr>
            <w:tcW w:w="421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NS_205 as defined in clause </w:t>
            </w:r>
            <w:r>
              <w:rPr>
                <w:rFonts w:ascii="Arial" w:hAnsi="Arial" w:eastAsia="Times New Roman" w:cs="Times New Roman"/>
                <w:sz w:val="18"/>
                <w:lang w:val="en-GB" w:eastAsia="en-US" w:bidi="ar-SA"/>
              </w:rPr>
              <w:t xml:space="preserve">6.5.3.2.6 </w:t>
            </w:r>
            <w:r>
              <w:rPr>
                <w:rFonts w:ascii="Arial" w:hAnsi="Arial" w:eastAsia="Times New Roman" w:cs="Arial"/>
                <w:sz w:val="18"/>
                <w:lang w:val="en-GB" w:eastAsia="en-US" w:bidi="ar-SA"/>
              </w:rPr>
              <w:t xml:space="preserve">or both NS_205 and CA_NS_205 as defined in clause </w:t>
            </w:r>
            <w:r>
              <w:rPr>
                <w:rFonts w:ascii="Arial" w:hAnsi="Arial" w:eastAsia="Times New Roman" w:cs="Times New Roman"/>
                <w:sz w:val="18"/>
                <w:lang w:val="en-GB" w:eastAsia="en-US" w:bidi="ar-SA"/>
              </w:rPr>
              <w:t xml:space="preserve">6.5A.3.2.6 </w:t>
            </w:r>
            <w:r>
              <w:rPr>
                <w:rFonts w:ascii="Arial" w:hAnsi="Arial" w:eastAsia="Times New Roman" w:cs="Arial"/>
                <w:sz w:val="18"/>
                <w:highlight w:val="yellow"/>
                <w:lang w:val="en-GB" w:eastAsia="en-US" w:bidi="ar-SA"/>
              </w:rPr>
              <w:t>in the latest version of Rel-19</w:t>
            </w:r>
          </w:p>
        </w:tc>
        <w:tc>
          <w:tcPr>
            <w:tcW w:w="2439"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 This bit </w:t>
            </w:r>
            <w:r>
              <w:rPr>
                <w:rFonts w:ascii="Arial" w:hAnsi="Arial" w:eastAsia="Times New Roman" w:cs="Arial"/>
                <w:sz w:val="18"/>
                <w:highlight w:val="yellow"/>
                <w:lang w:val="en-GB" w:eastAsia="en-US" w:bidi="ar-SA"/>
              </w:rPr>
              <w:t>shall be</w:t>
            </w:r>
            <w:r>
              <w:rPr>
                <w:rFonts w:ascii="Arial" w:hAnsi="Arial" w:eastAsia="Times New Roman" w:cs="Arial"/>
                <w:sz w:val="18"/>
                <w:lang w:val="en-GB" w:eastAsia="en-US" w:bidi="ar-SA"/>
              </w:rPr>
              <w:t xml:space="preserve"> set to 1 by a UE supporting n258 or both n258 and CA_n258</w:t>
            </w:r>
          </w:p>
        </w:tc>
      </w:tr>
    </w:tbl>
    <w:p>
      <w:pPr>
        <w:keepNext/>
        <w:keepLines/>
        <w:pageBreakBefore w:val="0"/>
        <w:widowControl/>
        <w:kinsoku/>
        <w:wordWrap/>
        <w:topLinePunct w:val="0"/>
        <w:bidi w:val="0"/>
        <w:snapToGrid w:val="0"/>
        <w:spacing w:before="137" w:beforeLines="50" w:after="120" w:afterLines="50"/>
        <w:rPr>
          <w:rFonts w:hint="eastAsia"/>
          <w:bCs/>
          <w:sz w:val="20"/>
          <w:szCs w:val="20"/>
          <w:lang w:val="en-US" w:eastAsia="zh-CN"/>
        </w:rPr>
      </w:pPr>
      <w:r>
        <w:rPr>
          <w:rFonts w:hint="eastAsia"/>
          <w:bCs/>
          <w:sz w:val="20"/>
          <w:szCs w:val="20"/>
          <w:lang w:val="en-US" w:eastAsia="zh-CN"/>
        </w:rPr>
        <w:t xml:space="preserve"> Rel-19:</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9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b/>
                <w:sz w:val="18"/>
                <w:highlight w:val="none"/>
                <w:lang w:val="en-GB" w:eastAsia="en-US" w:bidi="ar-SA"/>
              </w:rPr>
            </w:pPr>
            <w:r>
              <w:rPr>
                <w:rFonts w:ascii="Arial" w:hAnsi="Arial" w:eastAsia="Times New Roman" w:cs="Arial"/>
                <w:b/>
                <w:sz w:val="18"/>
                <w:highlight w:val="none"/>
                <w:lang w:val="en-GB" w:eastAsia="en-US" w:bidi="ar-SA"/>
              </w:rPr>
              <w:t>NR Band</w:t>
            </w:r>
          </w:p>
        </w:tc>
        <w:tc>
          <w:tcPr>
            <w:tcW w:w="15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b/>
                <w:i/>
                <w:sz w:val="18"/>
                <w:highlight w:val="none"/>
                <w:lang w:val="en-GB" w:eastAsia="en-US" w:bidi="ar-SA"/>
              </w:rPr>
            </w:pPr>
            <w:r>
              <w:rPr>
                <w:rFonts w:ascii="Arial" w:hAnsi="Arial" w:eastAsia="Times New Roman" w:cs="Arial"/>
                <w:b/>
                <w:sz w:val="18"/>
                <w:highlight w:val="none"/>
                <w:lang w:val="en-GB" w:eastAsia="en-US" w:bidi="ar-SA"/>
              </w:rPr>
              <w:t>Index of field</w:t>
            </w:r>
          </w:p>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b/>
                <w:sz w:val="18"/>
                <w:highlight w:val="none"/>
                <w:lang w:val="en-GB" w:eastAsia="en-US" w:bidi="ar-SA"/>
              </w:rPr>
            </w:pPr>
            <w:r>
              <w:rPr>
                <w:rFonts w:ascii="Arial" w:hAnsi="Arial" w:eastAsia="Times New Roman" w:cs="Arial"/>
                <w:b w:val="0"/>
                <w:bCs/>
                <w:sz w:val="18"/>
                <w:highlight w:val="none"/>
                <w:lang w:val="en-GB" w:eastAsia="en-US" w:bidi="ar-SA"/>
              </w:rPr>
              <w:t>(bit number)</w:t>
            </w:r>
          </w:p>
        </w:tc>
        <w:tc>
          <w:tcPr>
            <w:tcW w:w="4218"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b/>
                <w:sz w:val="18"/>
                <w:highlight w:val="none"/>
                <w:lang w:val="en-GB" w:eastAsia="en-US" w:bidi="ar-SA"/>
              </w:rPr>
            </w:pPr>
            <w:r>
              <w:rPr>
                <w:rFonts w:ascii="Arial" w:hAnsi="Arial" w:eastAsia="Times New Roman" w:cs="Arial"/>
                <w:b/>
                <w:sz w:val="18"/>
                <w:highlight w:val="none"/>
                <w:lang w:val="en-GB" w:eastAsia="en-US" w:bidi="ar-SA"/>
              </w:rPr>
              <w:t>Definition</w:t>
            </w:r>
          </w:p>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b w:val="0"/>
                <w:bCs/>
                <w:sz w:val="18"/>
                <w:highlight w:val="none"/>
                <w:lang w:val="en-GB" w:eastAsia="en-US" w:bidi="ar-SA"/>
              </w:rPr>
            </w:pPr>
            <w:r>
              <w:rPr>
                <w:rFonts w:ascii="Arial" w:hAnsi="Arial" w:eastAsia="Times New Roman" w:cs="Arial"/>
                <w:b w:val="0"/>
                <w:bCs/>
                <w:sz w:val="18"/>
                <w:highlight w:val="none"/>
                <w:lang w:val="en-GB" w:eastAsia="en-US" w:bidi="ar-SA"/>
              </w:rPr>
              <w:t>(description of the supported functionality if indicator set to one)</w:t>
            </w:r>
          </w:p>
        </w:tc>
        <w:tc>
          <w:tcPr>
            <w:tcW w:w="243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b/>
                <w:sz w:val="18"/>
                <w:highlight w:val="none"/>
                <w:lang w:val="en-GB" w:eastAsia="en-US" w:bidi="ar-SA"/>
              </w:rPr>
            </w:pPr>
            <w:r>
              <w:rPr>
                <w:rFonts w:ascii="Arial" w:hAnsi="Arial" w:eastAsia="Times New Roman" w:cs="Arial"/>
                <w:b/>
                <w:sz w:val="18"/>
                <w:highlight w:val="none"/>
                <w:lang w:val="en-GB" w:eastAsia="en-US"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n258</w:t>
            </w:r>
          </w:p>
        </w:tc>
        <w:tc>
          <w:tcPr>
            <w:tcW w:w="15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0 (leftmost bit)</w:t>
            </w:r>
          </w:p>
        </w:tc>
        <w:tc>
          <w:tcPr>
            <w:tcW w:w="4218"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FR2 power class 3 MPR as defined in clause </w:t>
            </w:r>
            <w:r>
              <w:rPr>
                <w:rFonts w:ascii="Arial" w:hAnsi="Arial" w:eastAsia="Times New Roman" w:cs="Times New Roman"/>
                <w:sz w:val="18"/>
                <w:highlight w:val="none"/>
                <w:lang w:val="en-GB" w:eastAsia="en-US" w:bidi="ar-SA"/>
              </w:rPr>
              <w:t>6.2.2.3</w:t>
            </w:r>
            <w:r>
              <w:rPr>
                <w:rFonts w:ascii="Arial" w:hAnsi="Arial" w:eastAsia="Times New Roman" w:cs="Arial"/>
                <w:sz w:val="18"/>
                <w:highlight w:val="none"/>
                <w:lang w:val="en-GB" w:eastAsia="en-US" w:bidi="ar-SA"/>
              </w:rPr>
              <w:t xml:space="preserve"> of 38.101-2 </w:t>
            </w:r>
          </w:p>
        </w:tc>
        <w:tc>
          <w:tcPr>
            <w:tcW w:w="243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This bit </w:t>
            </w:r>
            <w:r>
              <w:rPr>
                <w:rFonts w:ascii="Arial" w:hAnsi="Arial" w:eastAsia="Times New Roman" w:cs="Arial"/>
                <w:sz w:val="18"/>
                <w:highlight w:val="yellow"/>
                <w:lang w:val="en-GB" w:eastAsia="en-US" w:bidi="ar-SA"/>
              </w:rPr>
              <w:t xml:space="preserve">shall be </w:t>
            </w:r>
            <w:r>
              <w:rPr>
                <w:rFonts w:ascii="Arial" w:hAnsi="Arial" w:eastAsia="Times New Roman" w:cs="Arial"/>
                <w:sz w:val="18"/>
                <w:highlight w:val="none"/>
                <w:lang w:val="en-GB" w:eastAsia="en-US" w:bidi="ar-SA"/>
              </w:rPr>
              <w:t xml:space="preserve">set to 1 by a UE supporting </w:t>
            </w:r>
            <w:r>
              <w:rPr>
                <w:rFonts w:ascii="Arial" w:hAnsi="Arial" w:eastAsia="Times New Roman" w:cs="Times New Roman"/>
                <w:sz w:val="18"/>
                <w:highlight w:val="none"/>
                <w:lang w:val="en-GB" w:eastAsia="en-US" w:bidi="ar-SA"/>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sz w:val="18"/>
                <w:highlight w:val="none"/>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1</w:t>
            </w:r>
          </w:p>
        </w:tc>
        <w:tc>
          <w:tcPr>
            <w:tcW w:w="4218"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Void</w:t>
            </w:r>
          </w:p>
        </w:tc>
        <w:tc>
          <w:tcPr>
            <w:tcW w:w="243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sz w:val="18"/>
                <w:highlight w:val="none"/>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2</w:t>
            </w:r>
          </w:p>
        </w:tc>
        <w:tc>
          <w:tcPr>
            <w:tcW w:w="4218"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NS_203 as defined in clause </w:t>
            </w:r>
            <w:r>
              <w:rPr>
                <w:rFonts w:ascii="Arial" w:hAnsi="Arial" w:eastAsia="Times New Roman" w:cs="Times New Roman"/>
                <w:sz w:val="18"/>
                <w:highlight w:val="none"/>
                <w:lang w:val="en-GB" w:eastAsia="en-US" w:bidi="ar-SA"/>
              </w:rPr>
              <w:t xml:space="preserve">6.5.3.2.4 </w:t>
            </w:r>
            <w:r>
              <w:rPr>
                <w:rFonts w:ascii="Arial" w:hAnsi="Arial" w:eastAsia="Times New Roman" w:cs="Arial"/>
                <w:sz w:val="18"/>
                <w:highlight w:val="none"/>
                <w:lang w:val="en-GB" w:eastAsia="en-US" w:bidi="ar-SA"/>
              </w:rPr>
              <w:t xml:space="preserve">or both NS_203 and CA_NS_203 as defined in clause </w:t>
            </w:r>
            <w:r>
              <w:rPr>
                <w:rFonts w:ascii="Arial" w:hAnsi="Arial" w:eastAsia="Times New Roman" w:cs="Times New Roman"/>
                <w:sz w:val="18"/>
                <w:highlight w:val="none"/>
                <w:lang w:val="en-GB" w:eastAsia="en-US" w:bidi="ar-SA"/>
              </w:rPr>
              <w:t xml:space="preserve">6.5A.3.2.4 </w:t>
            </w:r>
            <w:r>
              <w:rPr>
                <w:rFonts w:ascii="Arial" w:hAnsi="Arial" w:eastAsia="Times New Roman" w:cs="Arial"/>
                <w:sz w:val="18"/>
                <w:highlight w:val="none"/>
                <w:lang w:val="en-GB" w:eastAsia="en-US" w:bidi="ar-SA"/>
              </w:rPr>
              <w:t>of 38.101-2 v15.12.0</w:t>
            </w:r>
          </w:p>
        </w:tc>
        <w:tc>
          <w:tcPr>
            <w:tcW w:w="243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This bit </w:t>
            </w:r>
            <w:r>
              <w:rPr>
                <w:rFonts w:ascii="Arial" w:hAnsi="Arial" w:eastAsia="Times New Roman" w:cs="Arial"/>
                <w:sz w:val="18"/>
                <w:highlight w:val="yellow"/>
                <w:lang w:val="en-GB" w:eastAsia="en-US" w:bidi="ar-SA"/>
              </w:rPr>
              <w:t xml:space="preserve">shall be </w:t>
            </w:r>
            <w:r>
              <w:rPr>
                <w:rFonts w:ascii="Arial" w:hAnsi="Arial" w:eastAsia="Times New Roman" w:cs="Arial"/>
                <w:sz w:val="18"/>
                <w:highlight w:val="none"/>
                <w:lang w:val="en-GB" w:eastAsia="en-US" w:bidi="ar-SA"/>
              </w:rPr>
              <w:t xml:space="preserve">set to 1 by a UE supporting </w:t>
            </w:r>
            <w:r>
              <w:rPr>
                <w:rFonts w:ascii="Arial" w:hAnsi="Arial" w:eastAsia="Times New Roman" w:cs="Times New Roman"/>
                <w:sz w:val="18"/>
                <w:highlight w:val="none"/>
                <w:lang w:val="en-GB" w:eastAsia="en-US" w:bidi="ar-SA"/>
              </w:rP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sz w:val="18"/>
                <w:highlight w:val="none"/>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ja-JP" w:bidi="ar-SA"/>
              </w:rPr>
            </w:pPr>
            <w:r>
              <w:rPr>
                <w:rFonts w:hint="eastAsia" w:ascii="Arial" w:hAnsi="Arial" w:eastAsia="Times New Roman" w:cs="Arial"/>
                <w:sz w:val="18"/>
                <w:highlight w:val="none"/>
                <w:lang w:val="en-GB" w:eastAsia="ja-JP" w:bidi="ar-SA"/>
              </w:rPr>
              <w:t>3</w:t>
            </w:r>
          </w:p>
        </w:tc>
        <w:tc>
          <w:tcPr>
            <w:tcW w:w="4218"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NS_202 as defined in clause </w:t>
            </w:r>
            <w:r>
              <w:rPr>
                <w:rFonts w:ascii="Arial" w:hAnsi="Arial" w:eastAsia="Times New Roman" w:cs="Times New Roman"/>
                <w:sz w:val="18"/>
                <w:highlight w:val="none"/>
                <w:lang w:val="en-GB" w:eastAsia="en-US" w:bidi="ar-SA"/>
              </w:rPr>
              <w:t xml:space="preserve">6.2.3.3 </w:t>
            </w:r>
            <w:r>
              <w:rPr>
                <w:rFonts w:ascii="Arial" w:hAnsi="Arial" w:eastAsia="Times New Roman" w:cs="Arial"/>
                <w:sz w:val="18"/>
                <w:highlight w:val="none"/>
                <w:lang w:val="en-GB" w:eastAsia="en-US" w:bidi="ar-SA"/>
              </w:rPr>
              <w:t>or both NS_20</w:t>
            </w:r>
            <w:r>
              <w:rPr>
                <w:rFonts w:hint="eastAsia" w:ascii="Arial" w:hAnsi="Arial" w:eastAsia="Times New Roman" w:cs="Arial"/>
                <w:sz w:val="18"/>
                <w:highlight w:val="none"/>
                <w:lang w:val="en-GB" w:eastAsia="ja-JP" w:bidi="ar-SA"/>
              </w:rPr>
              <w:t>2</w:t>
            </w:r>
            <w:r>
              <w:rPr>
                <w:rFonts w:ascii="Arial" w:hAnsi="Arial" w:eastAsia="Times New Roman" w:cs="Arial"/>
                <w:sz w:val="18"/>
                <w:highlight w:val="none"/>
                <w:lang w:val="en-GB" w:eastAsia="en-US" w:bidi="ar-SA"/>
              </w:rPr>
              <w:t xml:space="preserve"> and CA_NS_20</w:t>
            </w:r>
            <w:r>
              <w:rPr>
                <w:rFonts w:hint="eastAsia" w:ascii="Arial" w:hAnsi="Arial" w:eastAsia="Times New Roman" w:cs="Arial"/>
                <w:sz w:val="18"/>
                <w:highlight w:val="none"/>
                <w:lang w:val="en-GB" w:eastAsia="ja-JP" w:bidi="ar-SA"/>
              </w:rPr>
              <w:t>2</w:t>
            </w:r>
            <w:r>
              <w:rPr>
                <w:rFonts w:ascii="Arial" w:hAnsi="Arial" w:eastAsia="Times New Roman" w:cs="Arial"/>
                <w:sz w:val="18"/>
                <w:highlight w:val="none"/>
                <w:lang w:val="en-GB" w:eastAsia="en-US" w:bidi="ar-SA"/>
              </w:rPr>
              <w:t xml:space="preserve"> as defined in clause </w:t>
            </w:r>
            <w:r>
              <w:rPr>
                <w:rFonts w:ascii="Arial" w:hAnsi="Arial" w:eastAsia="Times New Roman" w:cs="Times New Roman"/>
                <w:sz w:val="18"/>
                <w:highlight w:val="none"/>
                <w:lang w:val="en-GB" w:eastAsia="en-US" w:bidi="ar-SA"/>
              </w:rPr>
              <w:t xml:space="preserve">6.2A.3.3 </w:t>
            </w:r>
          </w:p>
        </w:tc>
        <w:tc>
          <w:tcPr>
            <w:tcW w:w="243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This bit </w:t>
            </w:r>
            <w:r>
              <w:rPr>
                <w:rFonts w:ascii="Arial" w:hAnsi="Arial" w:eastAsia="Times New Roman" w:cs="Arial"/>
                <w:sz w:val="18"/>
                <w:highlight w:val="yellow"/>
                <w:lang w:val="en-GB" w:eastAsia="en-US" w:bidi="ar-SA"/>
              </w:rPr>
              <w:t>shall be</w:t>
            </w:r>
            <w:r>
              <w:rPr>
                <w:rFonts w:ascii="Arial" w:hAnsi="Arial" w:eastAsia="Times New Roman" w:cs="Arial"/>
                <w:sz w:val="18"/>
                <w:highlight w:val="none"/>
                <w:lang w:val="en-GB" w:eastAsia="en-US" w:bidi="ar-SA"/>
              </w:rPr>
              <w:t xml:space="preserve"> set to 1 by a UE supporting 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sz w:val="18"/>
                <w:highlight w:val="none"/>
                <w:lang w:val="en-GB" w:eastAsia="en-US" w:bidi="ar-SA"/>
              </w:rPr>
            </w:pPr>
          </w:p>
        </w:tc>
        <w:tc>
          <w:tcPr>
            <w:tcW w:w="15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ja-JP" w:bidi="ar-SA"/>
              </w:rPr>
            </w:pPr>
            <w:r>
              <w:rPr>
                <w:rFonts w:hint="eastAsia" w:ascii="Arial" w:hAnsi="Arial" w:eastAsia="Times New Roman" w:cs="Arial"/>
                <w:sz w:val="18"/>
                <w:highlight w:val="none"/>
                <w:lang w:val="en-GB" w:eastAsia="ja-JP" w:bidi="ar-SA"/>
              </w:rPr>
              <w:t>4</w:t>
            </w:r>
          </w:p>
        </w:tc>
        <w:tc>
          <w:tcPr>
            <w:tcW w:w="4218"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NS_205 as defined in clause </w:t>
            </w:r>
            <w:r>
              <w:rPr>
                <w:rFonts w:ascii="Arial" w:hAnsi="Arial" w:eastAsia="Times New Roman" w:cs="Times New Roman"/>
                <w:sz w:val="18"/>
                <w:highlight w:val="none"/>
                <w:lang w:val="en-GB" w:eastAsia="en-US" w:bidi="ar-SA"/>
              </w:rPr>
              <w:t xml:space="preserve">6.2.3.6 </w:t>
            </w:r>
            <w:r>
              <w:rPr>
                <w:rFonts w:ascii="Arial" w:hAnsi="Arial" w:eastAsia="Times New Roman" w:cs="Arial"/>
                <w:sz w:val="18"/>
                <w:highlight w:val="none"/>
                <w:lang w:val="en-GB" w:eastAsia="en-US" w:bidi="ar-SA"/>
              </w:rPr>
              <w:t xml:space="preserve">or both NS_205 and CA_NS_205 as defined in clause </w:t>
            </w:r>
            <w:r>
              <w:rPr>
                <w:rFonts w:ascii="Arial" w:hAnsi="Arial" w:eastAsia="Times New Roman" w:cs="Times New Roman"/>
                <w:sz w:val="18"/>
                <w:highlight w:val="none"/>
                <w:lang w:val="en-GB" w:eastAsia="en-US" w:bidi="ar-SA"/>
              </w:rPr>
              <w:t xml:space="preserve">6.2A.3.6 </w:t>
            </w:r>
          </w:p>
        </w:tc>
        <w:tc>
          <w:tcPr>
            <w:tcW w:w="243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 This bit </w:t>
            </w:r>
            <w:r>
              <w:rPr>
                <w:rFonts w:ascii="Arial" w:hAnsi="Arial" w:eastAsia="Times New Roman" w:cs="Arial"/>
                <w:sz w:val="18"/>
                <w:highlight w:val="yellow"/>
                <w:lang w:val="en-GB" w:eastAsia="en-US" w:bidi="ar-SA"/>
              </w:rPr>
              <w:t>shall be</w:t>
            </w:r>
            <w:r>
              <w:rPr>
                <w:rFonts w:ascii="Arial" w:hAnsi="Arial" w:eastAsia="Times New Roman" w:cs="Arial"/>
                <w:sz w:val="18"/>
                <w:highlight w:val="none"/>
                <w:lang w:val="en-GB" w:eastAsia="en-US" w:bidi="ar-SA"/>
              </w:rPr>
              <w:t xml:space="preserve"> set to 1 by a UE supporting n258 or both n258 and CA_n258 </w:t>
            </w:r>
          </w:p>
        </w:tc>
      </w:tr>
    </w:tbl>
    <w:p>
      <w:pPr>
        <w:keepNext/>
        <w:keepLines/>
        <w:pageBreakBefore w:val="0"/>
        <w:widowControl/>
        <w:kinsoku/>
        <w:wordWrap/>
        <w:topLinePunct w:val="0"/>
        <w:bidi w:val="0"/>
        <w:snapToGrid w:val="0"/>
        <w:spacing w:before="137" w:beforeLines="50" w:after="120" w:afterLines="50"/>
        <w:rPr>
          <w:rFonts w:hint="default"/>
          <w:b w:val="0"/>
          <w:bCs/>
          <w:sz w:val="20"/>
          <w:szCs w:val="20"/>
          <w:lang w:val="en-US" w:eastAsia="zh-CN"/>
        </w:rPr>
      </w:pPr>
      <w:r>
        <w:rPr>
          <w:rFonts w:hint="eastAsia"/>
          <w:b w:val="0"/>
          <w:bCs/>
          <w:sz w:val="20"/>
          <w:szCs w:val="20"/>
          <w:lang w:val="en-US" w:eastAsia="zh-CN"/>
        </w:rPr>
        <w:t>So it seems the legacy bits can be keep unchanged.</w:t>
      </w:r>
    </w:p>
    <w:p>
      <w:pPr>
        <w:keepNext/>
        <w:keepLines/>
        <w:pageBreakBefore w:val="0"/>
        <w:widowControl/>
        <w:kinsoku/>
        <w:wordWrap/>
        <w:topLinePunct w:val="0"/>
        <w:bidi w:val="0"/>
        <w:snapToGrid w:val="0"/>
        <w:spacing w:before="137" w:beforeLines="50" w:after="120" w:afterLines="50"/>
        <w:rPr>
          <w:rFonts w:hint="eastAsia"/>
          <w:b/>
          <w:bCs w:val="0"/>
          <w:sz w:val="20"/>
          <w:szCs w:val="20"/>
          <w:lang w:val="en-US" w:eastAsia="zh-CN"/>
        </w:rPr>
      </w:pPr>
      <w:r>
        <w:rPr>
          <w:rFonts w:hint="eastAsia"/>
          <w:b/>
          <w:bCs w:val="0"/>
          <w:sz w:val="20"/>
          <w:szCs w:val="20"/>
          <w:lang w:val="en-US" w:eastAsia="zh-CN"/>
        </w:rPr>
        <w:t xml:space="preserve">Proposal 3: For 38.101-1, </w:t>
      </w:r>
      <w:r>
        <w:rPr>
          <w:rFonts w:hint="default"/>
          <w:b/>
          <w:bCs w:val="0"/>
          <w:sz w:val="20"/>
          <w:szCs w:val="20"/>
          <w:lang w:val="en-US" w:eastAsia="zh-CN"/>
        </w:rPr>
        <w:t>‘</w:t>
      </w:r>
      <w:r>
        <w:rPr>
          <w:rFonts w:hint="eastAsia"/>
          <w:b/>
          <w:bCs w:val="0"/>
          <w:sz w:val="20"/>
          <w:szCs w:val="20"/>
          <w:lang w:val="en-US" w:eastAsia="zh-CN"/>
        </w:rPr>
        <w:t>shall</w:t>
      </w:r>
      <w:r>
        <w:rPr>
          <w:rFonts w:hint="default"/>
          <w:b/>
          <w:bCs w:val="0"/>
          <w:sz w:val="20"/>
          <w:szCs w:val="20"/>
          <w:lang w:val="en-US" w:eastAsia="zh-CN"/>
        </w:rPr>
        <w:t>’</w:t>
      </w:r>
      <w:r>
        <w:rPr>
          <w:rFonts w:hint="eastAsia"/>
          <w:b/>
          <w:bCs w:val="0"/>
          <w:sz w:val="20"/>
          <w:szCs w:val="20"/>
          <w:lang w:val="en-US" w:eastAsia="zh-CN"/>
        </w:rPr>
        <w:t xml:space="preserve"> should be correct to </w:t>
      </w:r>
      <w:r>
        <w:rPr>
          <w:rFonts w:hint="default"/>
          <w:b/>
          <w:bCs w:val="0"/>
          <w:sz w:val="20"/>
          <w:szCs w:val="20"/>
          <w:lang w:val="en-US" w:eastAsia="zh-CN"/>
        </w:rPr>
        <w:t>‘</w:t>
      </w:r>
      <w:r>
        <w:rPr>
          <w:rFonts w:hint="eastAsia"/>
          <w:b/>
          <w:bCs w:val="0"/>
          <w:sz w:val="20"/>
          <w:szCs w:val="20"/>
          <w:lang w:val="en-US" w:eastAsia="zh-CN"/>
        </w:rPr>
        <w:t>may</w:t>
      </w:r>
      <w:r>
        <w:rPr>
          <w:rFonts w:hint="default"/>
          <w:b/>
          <w:bCs w:val="0"/>
          <w:sz w:val="20"/>
          <w:szCs w:val="20"/>
          <w:lang w:val="en-US" w:eastAsia="zh-CN"/>
        </w:rPr>
        <w:t>’</w:t>
      </w:r>
      <w:r>
        <w:rPr>
          <w:rFonts w:hint="eastAsia"/>
          <w:b/>
          <w:bCs w:val="0"/>
          <w:sz w:val="20"/>
          <w:szCs w:val="20"/>
          <w:lang w:val="en-US" w:eastAsia="zh-CN"/>
        </w:rPr>
        <w:t xml:space="preserve"> in </w:t>
      </w:r>
      <w:r>
        <w:rPr>
          <w:rFonts w:ascii="Times New Roman" w:hAnsi="Times New Roman" w:eastAsia="Times New Roman" w:cs="Times New Roman"/>
          <w:b/>
          <w:bCs w:val="0"/>
          <w:kern w:val="2"/>
          <w:sz w:val="20"/>
          <w:szCs w:val="20"/>
          <w:lang w:val="en-US" w:eastAsia="zh-CN" w:bidi="ar-SA"/>
        </w:rPr>
        <w:t>legacy</w:t>
      </w:r>
      <w:r>
        <w:rPr>
          <w:rFonts w:hint="eastAsia" w:eastAsia="Times New Roman" w:cs="Times New Roman"/>
          <w:b/>
          <w:bCs w:val="0"/>
          <w:kern w:val="2"/>
          <w:sz w:val="20"/>
          <w:szCs w:val="20"/>
          <w:lang w:val="en-US" w:eastAsia="zh-CN" w:bidi="ar-SA"/>
        </w:rPr>
        <w:t xml:space="preserve"> bits in </w:t>
      </w:r>
      <w:r>
        <w:rPr>
          <w:rFonts w:hint="eastAsia"/>
          <w:b/>
          <w:bCs w:val="0"/>
          <w:sz w:val="20"/>
          <w:szCs w:val="20"/>
          <w:lang w:val="en-US" w:eastAsia="zh-CN"/>
        </w:rPr>
        <w:t>backwards release to allow UEs to optionally meet the new MPR/A-MPR requirements.</w:t>
      </w:r>
    </w:p>
    <w:p>
      <w:pPr>
        <w:keepNext/>
        <w:keepLines/>
        <w:pageBreakBefore w:val="0"/>
        <w:widowControl/>
        <w:kinsoku/>
        <w:wordWrap/>
        <w:topLinePunct w:val="0"/>
        <w:bidi w:val="0"/>
        <w:snapToGrid w:val="0"/>
        <w:spacing w:before="137" w:beforeLines="50" w:after="120" w:afterLines="50"/>
        <w:rPr>
          <w:rFonts w:hint="default"/>
          <w:b/>
          <w:bCs w:val="0"/>
          <w:sz w:val="20"/>
          <w:szCs w:val="20"/>
          <w:lang w:val="en-US" w:eastAsia="zh-CN"/>
        </w:rPr>
      </w:pPr>
      <w:r>
        <w:rPr>
          <w:rFonts w:hint="eastAsia"/>
          <w:b/>
          <w:bCs w:val="0"/>
          <w:sz w:val="20"/>
          <w:szCs w:val="20"/>
          <w:lang w:val="en-US" w:eastAsia="zh-CN"/>
        </w:rPr>
        <w:t>Proposal 4: For 38.101-2, the legacy bits can keep unchanged.</w:t>
      </w:r>
    </w:p>
    <w:bookmarkEnd w:id="10"/>
    <w:bookmarkEnd w:id="11"/>
    <w:bookmarkEnd w:id="12"/>
    <w:bookmarkEnd w:id="1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some</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consideration on </w:t>
      </w:r>
      <w:r>
        <w:rPr>
          <w:rFonts w:cs="Arial"/>
        </w:rPr>
        <w:t>modifiedMPR-Behaviour</w:t>
      </w:r>
      <w:r>
        <w:t xml:space="preserve"> among releases</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kinsoku/>
        <w:wordWrap/>
        <w:topLinePunct w:val="0"/>
        <w:bidi w:val="0"/>
        <w:snapToGrid w:val="0"/>
        <w:spacing w:before="137" w:beforeLines="50" w:after="120" w:afterLines="50"/>
        <w:rPr>
          <w:rFonts w:hint="default"/>
          <w:b/>
          <w:bCs w:val="0"/>
          <w:sz w:val="20"/>
          <w:szCs w:val="20"/>
          <w:lang w:val="en-US" w:eastAsia="zh-CN"/>
        </w:rPr>
      </w:pPr>
      <w:r>
        <w:rPr>
          <w:rFonts w:hint="eastAsia"/>
          <w:b/>
          <w:bCs w:val="0"/>
          <w:sz w:val="20"/>
          <w:szCs w:val="20"/>
          <w:lang w:val="en-US" w:eastAsia="zh-CN"/>
        </w:rPr>
        <w:t>Observation 1: Different approaches were adopted between TS38.101-1 and TS38.101-2, where in TS38.101-1, the A-MPR requirements with the same NS value(i.e. NS_XX) are updated in the latest specification to meet the new regulations, while in TS38.101-2, the A-MPR requirements with the new added NS value(i.e. NS_XX) in the latest specification to meet the new regulations.</w:t>
      </w:r>
    </w:p>
    <w:p>
      <w:pPr>
        <w:keepNext/>
        <w:keepLines/>
        <w:pageBreakBefore w:val="0"/>
        <w:widowControl/>
        <w:kinsoku/>
        <w:wordWrap/>
        <w:topLinePunct w:val="0"/>
        <w:bidi w:val="0"/>
        <w:snapToGrid w:val="0"/>
        <w:spacing w:before="137" w:beforeLines="50" w:after="120" w:afterLines="50"/>
        <w:rPr>
          <w:rFonts w:hint="eastAsia"/>
          <w:b/>
          <w:bCs w:val="0"/>
          <w:sz w:val="20"/>
          <w:szCs w:val="20"/>
          <w:lang w:val="en-US" w:eastAsia="zh-CN"/>
        </w:rPr>
      </w:pPr>
      <w:r>
        <w:rPr>
          <w:rFonts w:hint="eastAsia"/>
          <w:b/>
          <w:bCs w:val="0"/>
          <w:sz w:val="20"/>
          <w:szCs w:val="20"/>
          <w:lang w:val="en-US" w:eastAsia="zh-CN"/>
        </w:rPr>
        <w:t xml:space="preserve">Observation 2: ModifiedMPR-Behaviour issue is more serious in TS38.101-1 since misusing of </w:t>
      </w:r>
      <w:r>
        <w:rPr>
          <w:rFonts w:hint="default"/>
          <w:b/>
          <w:bCs w:val="0"/>
          <w:sz w:val="20"/>
          <w:szCs w:val="20"/>
          <w:lang w:val="en-US" w:eastAsia="zh-CN"/>
        </w:rPr>
        <w:t>‘</w:t>
      </w:r>
      <w:r>
        <w:rPr>
          <w:rFonts w:hint="eastAsia"/>
          <w:b/>
          <w:bCs w:val="0"/>
          <w:sz w:val="20"/>
          <w:szCs w:val="20"/>
          <w:lang w:val="en-US" w:eastAsia="zh-CN"/>
        </w:rPr>
        <w:t>shall</w:t>
      </w:r>
      <w:r>
        <w:rPr>
          <w:rFonts w:hint="default"/>
          <w:b/>
          <w:bCs w:val="0"/>
          <w:sz w:val="20"/>
          <w:szCs w:val="20"/>
          <w:lang w:val="en-US" w:eastAsia="zh-CN"/>
        </w:rPr>
        <w:t>’</w:t>
      </w:r>
      <w:r>
        <w:rPr>
          <w:rFonts w:hint="eastAsia"/>
          <w:b/>
          <w:bCs w:val="0"/>
          <w:sz w:val="20"/>
          <w:szCs w:val="20"/>
          <w:lang w:val="en-US" w:eastAsia="zh-CN"/>
        </w:rPr>
        <w:t xml:space="preserve"> and </w:t>
      </w:r>
      <w:r>
        <w:rPr>
          <w:rFonts w:hint="default"/>
          <w:b/>
          <w:bCs w:val="0"/>
          <w:sz w:val="20"/>
          <w:szCs w:val="20"/>
          <w:lang w:val="en-US" w:eastAsia="zh-CN"/>
        </w:rPr>
        <w:t>‘</w:t>
      </w:r>
      <w:r>
        <w:rPr>
          <w:rFonts w:hint="eastAsia"/>
          <w:b/>
          <w:bCs w:val="0"/>
          <w:sz w:val="20"/>
          <w:szCs w:val="20"/>
          <w:lang w:val="en-US" w:eastAsia="zh-CN"/>
        </w:rPr>
        <w:t>may</w:t>
      </w:r>
      <w:r>
        <w:rPr>
          <w:rFonts w:hint="default"/>
          <w:b/>
          <w:bCs w:val="0"/>
          <w:sz w:val="20"/>
          <w:szCs w:val="20"/>
          <w:lang w:val="en-US" w:eastAsia="zh-CN"/>
        </w:rPr>
        <w:t>’</w:t>
      </w:r>
      <w:r>
        <w:rPr>
          <w:rFonts w:hint="eastAsia"/>
          <w:b/>
          <w:bCs w:val="0"/>
          <w:sz w:val="20"/>
          <w:szCs w:val="20"/>
          <w:lang w:val="en-US" w:eastAsia="zh-CN"/>
        </w:rPr>
        <w:t xml:space="preserve"> for the bit setting which makes it is possible to set both bit </w:t>
      </w:r>
      <w:r>
        <w:rPr>
          <w:rFonts w:hint="default"/>
          <w:b/>
          <w:bCs w:val="0"/>
          <w:sz w:val="20"/>
          <w:szCs w:val="20"/>
          <w:lang w:val="en-US" w:eastAsia="zh-CN"/>
        </w:rPr>
        <w:t>‘</w:t>
      </w:r>
      <w:r>
        <w:rPr>
          <w:rFonts w:hint="eastAsia"/>
          <w:b/>
          <w:bCs w:val="0"/>
          <w:sz w:val="20"/>
          <w:szCs w:val="20"/>
          <w:lang w:val="en-US" w:eastAsia="zh-CN"/>
        </w:rPr>
        <w:t>0</w:t>
      </w:r>
      <w:r>
        <w:rPr>
          <w:rFonts w:hint="default"/>
          <w:b/>
          <w:bCs w:val="0"/>
          <w:sz w:val="20"/>
          <w:szCs w:val="20"/>
          <w:lang w:val="en-US" w:eastAsia="zh-CN"/>
        </w:rPr>
        <w:t>’</w:t>
      </w:r>
      <w:r>
        <w:rPr>
          <w:rFonts w:hint="eastAsia"/>
          <w:b/>
          <w:bCs w:val="0"/>
          <w:sz w:val="20"/>
          <w:szCs w:val="20"/>
          <w:lang w:val="en-US" w:eastAsia="zh-CN"/>
        </w:rPr>
        <w:t xml:space="preserve"> and bit </w:t>
      </w:r>
      <w:r>
        <w:rPr>
          <w:rFonts w:hint="default"/>
          <w:b/>
          <w:bCs w:val="0"/>
          <w:sz w:val="20"/>
          <w:szCs w:val="20"/>
          <w:lang w:val="en-US" w:eastAsia="zh-CN"/>
        </w:rPr>
        <w:t>‘</w:t>
      </w:r>
      <w:r>
        <w:rPr>
          <w:rFonts w:hint="eastAsia"/>
          <w:b/>
          <w:bCs w:val="0"/>
          <w:sz w:val="20"/>
          <w:szCs w:val="20"/>
          <w:lang w:val="en-US" w:eastAsia="zh-CN"/>
        </w:rPr>
        <w:t>2</w:t>
      </w:r>
      <w:r>
        <w:rPr>
          <w:rFonts w:hint="default"/>
          <w:b/>
          <w:bCs w:val="0"/>
          <w:sz w:val="20"/>
          <w:szCs w:val="20"/>
          <w:lang w:val="en-US" w:eastAsia="zh-CN"/>
        </w:rPr>
        <w:t>’</w:t>
      </w:r>
      <w:r>
        <w:rPr>
          <w:rFonts w:hint="eastAsia"/>
          <w:b/>
          <w:bCs w:val="0"/>
          <w:sz w:val="20"/>
          <w:szCs w:val="20"/>
          <w:lang w:val="en-US" w:eastAsia="zh-CN"/>
        </w:rPr>
        <w:t xml:space="preserve"> to 1 for the same NS value. </w:t>
      </w:r>
    </w:p>
    <w:p>
      <w:pPr>
        <w:keepNext/>
        <w:keepLines/>
        <w:pageBreakBefore w:val="0"/>
        <w:widowControl/>
        <w:kinsoku/>
        <w:wordWrap/>
        <w:topLinePunct w:val="0"/>
        <w:bidi w:val="0"/>
        <w:snapToGrid w:val="0"/>
        <w:spacing w:before="137" w:beforeLines="50" w:after="120" w:afterLines="50"/>
        <w:rPr>
          <w:rFonts w:hint="default"/>
          <w:b/>
          <w:bCs w:val="0"/>
          <w:sz w:val="20"/>
          <w:szCs w:val="20"/>
          <w:lang w:val="en-US" w:eastAsia="zh-CN"/>
        </w:rPr>
      </w:pPr>
      <w:r>
        <w:rPr>
          <w:rFonts w:hint="eastAsia"/>
          <w:b/>
          <w:bCs w:val="0"/>
          <w:sz w:val="20"/>
          <w:szCs w:val="20"/>
          <w:lang w:val="en-US" w:eastAsia="zh-CN"/>
        </w:rPr>
        <w:t>Proposal 1: RAN4 should come up with the generic rule/guidance on modifiedMPR-Behaviour for both FR1 and FR2, and implement it in the latest Rel-19 specification.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val="0"/>
          <w:sz w:val="20"/>
          <w:szCs w:val="20"/>
          <w:lang w:val="en-US" w:eastAsia="zh-CN"/>
        </w:rPr>
      </w:pPr>
      <w:r>
        <w:rPr>
          <w:rFonts w:hint="eastAsia"/>
          <w:b/>
          <w:bCs w:val="0"/>
          <w:sz w:val="20"/>
          <w:szCs w:val="20"/>
          <w:lang w:val="en-US" w:eastAsia="zh-CN"/>
        </w:rPr>
        <w:t xml:space="preserve">Observation 3: Absent would be the same meaning as </w:t>
      </w:r>
      <w:r>
        <w:rPr>
          <w:rFonts w:hint="default"/>
          <w:b/>
          <w:bCs w:val="0"/>
          <w:sz w:val="20"/>
          <w:szCs w:val="20"/>
          <w:lang w:val="en-US" w:eastAsia="zh-CN"/>
        </w:rPr>
        <w:t>‘</w:t>
      </w:r>
      <w:r>
        <w:rPr>
          <w:rFonts w:hint="eastAsia"/>
          <w:b/>
          <w:bCs w:val="0"/>
          <w:sz w:val="20"/>
          <w:szCs w:val="20"/>
          <w:lang w:val="en-US" w:eastAsia="zh-CN"/>
        </w:rPr>
        <w:t>00000000</w:t>
      </w:r>
      <w:r>
        <w:rPr>
          <w:rFonts w:hint="default"/>
          <w:b/>
          <w:bCs w:val="0"/>
          <w:sz w:val="20"/>
          <w:szCs w:val="20"/>
          <w:lang w:val="en-US" w:eastAsia="zh-CN"/>
        </w:rPr>
        <w:t>’</w:t>
      </w:r>
      <w:r>
        <w:rPr>
          <w:rFonts w:hint="eastAsia"/>
          <w:b/>
          <w:bCs w:val="0"/>
          <w:sz w:val="20"/>
          <w:szCs w:val="20"/>
          <w:lang w:val="en-US" w:eastAsia="zh-CN"/>
        </w:rPr>
        <w:t xml:space="preserve">, but it does not fit the </w:t>
      </w:r>
      <w:r>
        <w:rPr>
          <w:rFonts w:hint="eastAsia"/>
          <w:b/>
          <w:bCs w:val="0"/>
          <w:i/>
          <w:iCs/>
          <w:sz w:val="20"/>
          <w:szCs w:val="20"/>
          <w:lang w:val="en-US" w:eastAsia="zh-CN"/>
        </w:rPr>
        <w:t>modifiedMPR-Behaviour</w:t>
      </w:r>
      <w:r>
        <w:rPr>
          <w:rFonts w:hint="eastAsia"/>
          <w:b/>
          <w:bCs w:val="0"/>
          <w:sz w:val="20"/>
          <w:szCs w:val="20"/>
          <w:lang w:val="en-US" w:eastAsia="zh-CN"/>
        </w:rPr>
        <w:t xml:space="preserve"> descriptions in the Notes, UE should not report absent for IE </w:t>
      </w:r>
      <w:r>
        <w:rPr>
          <w:rFonts w:hint="eastAsia"/>
          <w:b/>
          <w:bCs w:val="0"/>
          <w:i/>
          <w:iCs/>
          <w:sz w:val="20"/>
          <w:szCs w:val="20"/>
          <w:lang w:val="en-US" w:eastAsia="zh-CN"/>
        </w:rPr>
        <w:t>modifiedMPR-Behaviour</w:t>
      </w:r>
      <w:r>
        <w:rPr>
          <w:rFonts w:hint="eastAsia"/>
          <w:b/>
          <w:bCs w:val="0"/>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val="0"/>
          <w:sz w:val="20"/>
          <w:szCs w:val="20"/>
          <w:lang w:val="en-US" w:eastAsia="zh-CN"/>
        </w:rPr>
      </w:pPr>
      <w:r>
        <w:rPr>
          <w:rFonts w:hint="eastAsia"/>
          <w:b/>
          <w:bCs w:val="0"/>
          <w:sz w:val="20"/>
          <w:szCs w:val="20"/>
          <w:lang w:val="en-US" w:eastAsia="zh-CN"/>
        </w:rPr>
        <w:t xml:space="preserve">Observation 4: Bit </w:t>
      </w:r>
      <w:r>
        <w:rPr>
          <w:rFonts w:hint="default"/>
          <w:b/>
          <w:bCs w:val="0"/>
          <w:sz w:val="20"/>
          <w:szCs w:val="20"/>
          <w:lang w:val="en-US" w:eastAsia="zh-CN"/>
        </w:rPr>
        <w:t>‘</w:t>
      </w:r>
      <w:r>
        <w:rPr>
          <w:rFonts w:hint="eastAsia"/>
          <w:b/>
          <w:bCs w:val="0"/>
          <w:sz w:val="20"/>
          <w:szCs w:val="20"/>
          <w:lang w:val="en-US" w:eastAsia="zh-CN"/>
        </w:rPr>
        <w:t>0</w:t>
      </w:r>
      <w:r>
        <w:rPr>
          <w:rFonts w:hint="default"/>
          <w:b/>
          <w:bCs w:val="0"/>
          <w:sz w:val="20"/>
          <w:szCs w:val="20"/>
          <w:lang w:val="en-US" w:eastAsia="zh-CN"/>
        </w:rPr>
        <w:t>’</w:t>
      </w:r>
      <w:r>
        <w:rPr>
          <w:rFonts w:hint="eastAsia"/>
          <w:b/>
          <w:bCs w:val="0"/>
          <w:sz w:val="20"/>
          <w:szCs w:val="20"/>
          <w:lang w:val="en-US" w:eastAsia="zh-CN"/>
        </w:rPr>
        <w:t xml:space="preserve"> means the corresponding A-MPR/MPR requirements in a certain version cannot be met.</w:t>
      </w:r>
    </w:p>
    <w:p>
      <w:pPr>
        <w:keepNext/>
        <w:keepLines/>
        <w:pageBreakBefore w:val="0"/>
        <w:widowControl/>
        <w:kinsoku/>
        <w:wordWrap/>
        <w:topLinePunct w:val="0"/>
        <w:bidi w:val="0"/>
        <w:snapToGrid w:val="0"/>
        <w:spacing w:before="137" w:beforeLines="50" w:after="120" w:afterLines="50"/>
        <w:rPr>
          <w:rFonts w:hint="eastAsia" w:eastAsia="宋体"/>
          <w:bCs/>
          <w:sz w:val="20"/>
          <w:szCs w:val="20"/>
          <w:lang w:val="en-US" w:eastAsia="zh-CN"/>
        </w:rPr>
      </w:pPr>
      <w:r>
        <w:rPr>
          <w:rFonts w:hint="eastAsia"/>
          <w:b/>
          <w:bCs w:val="0"/>
          <w:sz w:val="20"/>
          <w:szCs w:val="20"/>
          <w:lang w:val="en-US" w:eastAsia="zh-CN"/>
        </w:rPr>
        <w:t xml:space="preserve">Proposal 2: We slight prefer to remove the </w:t>
      </w:r>
      <w:r>
        <w:rPr>
          <w:b/>
          <w:bCs w:val="0"/>
          <w:sz w:val="20"/>
          <w:szCs w:val="20"/>
        </w:rPr>
        <w:t>spec version number from next release</w:t>
      </w:r>
      <w:r>
        <w:rPr>
          <w:rFonts w:hint="eastAsia"/>
          <w:b/>
          <w:bCs w:val="0"/>
          <w:sz w:val="20"/>
          <w:szCs w:val="20"/>
          <w:lang w:val="en-US" w:eastAsia="zh-CN"/>
        </w:rPr>
        <w:t>.</w:t>
      </w:r>
    </w:p>
    <w:p>
      <w:pPr>
        <w:keepNext/>
        <w:keepLines/>
        <w:pageBreakBefore w:val="0"/>
        <w:widowControl/>
        <w:kinsoku/>
        <w:wordWrap/>
        <w:topLinePunct w:val="0"/>
        <w:bidi w:val="0"/>
        <w:snapToGrid w:val="0"/>
        <w:spacing w:before="137" w:beforeLines="50" w:after="120" w:afterLines="50"/>
        <w:rPr>
          <w:rFonts w:hint="eastAsia"/>
          <w:b/>
          <w:bCs w:val="0"/>
          <w:sz w:val="20"/>
          <w:szCs w:val="20"/>
          <w:lang w:val="en-US" w:eastAsia="zh-CN"/>
        </w:rPr>
      </w:pPr>
      <w:r>
        <w:rPr>
          <w:rFonts w:hint="eastAsia"/>
          <w:b/>
          <w:bCs w:val="0"/>
          <w:sz w:val="20"/>
          <w:szCs w:val="20"/>
          <w:lang w:val="en-US" w:eastAsia="zh-CN"/>
        </w:rPr>
        <w:t xml:space="preserve">Proposal 3: For 38.101-1, </w:t>
      </w:r>
      <w:r>
        <w:rPr>
          <w:rFonts w:hint="default"/>
          <w:b/>
          <w:bCs w:val="0"/>
          <w:sz w:val="20"/>
          <w:szCs w:val="20"/>
          <w:lang w:val="en-US" w:eastAsia="zh-CN"/>
        </w:rPr>
        <w:t>‘</w:t>
      </w:r>
      <w:r>
        <w:rPr>
          <w:rFonts w:hint="eastAsia"/>
          <w:b/>
          <w:bCs w:val="0"/>
          <w:sz w:val="20"/>
          <w:szCs w:val="20"/>
          <w:lang w:val="en-US" w:eastAsia="zh-CN"/>
        </w:rPr>
        <w:t>shall</w:t>
      </w:r>
      <w:r>
        <w:rPr>
          <w:rFonts w:hint="default"/>
          <w:b/>
          <w:bCs w:val="0"/>
          <w:sz w:val="20"/>
          <w:szCs w:val="20"/>
          <w:lang w:val="en-US" w:eastAsia="zh-CN"/>
        </w:rPr>
        <w:t>’</w:t>
      </w:r>
      <w:r>
        <w:rPr>
          <w:rFonts w:hint="eastAsia"/>
          <w:b/>
          <w:bCs w:val="0"/>
          <w:sz w:val="20"/>
          <w:szCs w:val="20"/>
          <w:lang w:val="en-US" w:eastAsia="zh-CN"/>
        </w:rPr>
        <w:t xml:space="preserve"> should be correct to </w:t>
      </w:r>
      <w:r>
        <w:rPr>
          <w:rFonts w:hint="default"/>
          <w:b/>
          <w:bCs w:val="0"/>
          <w:sz w:val="20"/>
          <w:szCs w:val="20"/>
          <w:lang w:val="en-US" w:eastAsia="zh-CN"/>
        </w:rPr>
        <w:t>‘</w:t>
      </w:r>
      <w:r>
        <w:rPr>
          <w:rFonts w:hint="eastAsia"/>
          <w:b/>
          <w:bCs w:val="0"/>
          <w:sz w:val="20"/>
          <w:szCs w:val="20"/>
          <w:lang w:val="en-US" w:eastAsia="zh-CN"/>
        </w:rPr>
        <w:t>may</w:t>
      </w:r>
      <w:r>
        <w:rPr>
          <w:rFonts w:hint="default"/>
          <w:b/>
          <w:bCs w:val="0"/>
          <w:sz w:val="20"/>
          <w:szCs w:val="20"/>
          <w:lang w:val="en-US" w:eastAsia="zh-CN"/>
        </w:rPr>
        <w:t>’</w:t>
      </w:r>
      <w:r>
        <w:rPr>
          <w:rFonts w:hint="eastAsia"/>
          <w:b/>
          <w:bCs w:val="0"/>
          <w:sz w:val="20"/>
          <w:szCs w:val="20"/>
          <w:lang w:val="en-US" w:eastAsia="zh-CN"/>
        </w:rPr>
        <w:t xml:space="preserve"> in </w:t>
      </w:r>
      <w:r>
        <w:rPr>
          <w:rFonts w:ascii="Times New Roman" w:hAnsi="Times New Roman" w:eastAsia="Times New Roman" w:cs="Times New Roman"/>
          <w:b/>
          <w:bCs w:val="0"/>
          <w:kern w:val="2"/>
          <w:sz w:val="20"/>
          <w:szCs w:val="20"/>
          <w:lang w:val="en-US" w:eastAsia="zh-CN" w:bidi="ar-SA"/>
        </w:rPr>
        <w:t>legacy</w:t>
      </w:r>
      <w:r>
        <w:rPr>
          <w:rFonts w:hint="eastAsia" w:eastAsia="Times New Roman" w:cs="Times New Roman"/>
          <w:b/>
          <w:bCs w:val="0"/>
          <w:kern w:val="2"/>
          <w:sz w:val="20"/>
          <w:szCs w:val="20"/>
          <w:lang w:val="en-US" w:eastAsia="zh-CN" w:bidi="ar-SA"/>
        </w:rPr>
        <w:t xml:space="preserve"> bits in </w:t>
      </w:r>
      <w:r>
        <w:rPr>
          <w:rFonts w:hint="eastAsia"/>
          <w:b/>
          <w:bCs w:val="0"/>
          <w:sz w:val="20"/>
          <w:szCs w:val="20"/>
          <w:lang w:val="en-US" w:eastAsia="zh-CN"/>
        </w:rPr>
        <w:t>backwards release to allow UEs to optionally meet the new MPR/A-MPR requirements.</w:t>
      </w:r>
    </w:p>
    <w:p>
      <w:pPr>
        <w:keepNext/>
        <w:keepLines/>
        <w:pageBreakBefore w:val="0"/>
        <w:widowControl/>
        <w:numPr>
          <w:ilvl w:val="0"/>
          <w:numId w:val="0"/>
        </w:numPr>
        <w:kinsoku/>
        <w:wordWrap/>
        <w:overflowPunct w:val="0"/>
        <w:topLinePunct w:val="0"/>
        <w:autoSpaceDE w:val="0"/>
        <w:autoSpaceDN w:val="0"/>
        <w:bidi w:val="0"/>
        <w:adjustRightInd w:val="0"/>
        <w:spacing w:after="0"/>
        <w:jc w:val="both"/>
        <w:textAlignment w:val="baseline"/>
        <w:rPr>
          <w:rFonts w:hint="default" w:cs="Times New Roman"/>
          <w:b/>
          <w:bCs/>
          <w:i/>
          <w:iCs/>
          <w:sz w:val="20"/>
          <w:szCs w:val="20"/>
          <w:lang w:val="en-US" w:eastAsia="zh-CN"/>
        </w:rPr>
      </w:pPr>
      <w:r>
        <w:rPr>
          <w:rFonts w:hint="eastAsia"/>
          <w:b/>
          <w:bCs w:val="0"/>
          <w:sz w:val="20"/>
          <w:szCs w:val="20"/>
          <w:lang w:val="en-US" w:eastAsia="zh-CN"/>
        </w:rPr>
        <w:t>Proposal 4: For 38.101-2, the legacy bits can keep unchanged.</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topLinePunct w:val="0"/>
        <w:bidi w:val="0"/>
        <w:rPr>
          <w:rFonts w:hint="default" w:eastAsia="宋体"/>
          <w:sz w:val="20"/>
          <w:szCs w:val="20"/>
          <w:lang w:val="en-US" w:eastAsia="zh-CN"/>
        </w:rPr>
      </w:pPr>
      <w:r>
        <w:rPr>
          <w:rFonts w:hint="eastAsia"/>
          <w:sz w:val="20"/>
          <w:szCs w:val="20"/>
          <w:lang w:val="en-US" w:eastAsia="zh-CN"/>
        </w:rPr>
        <w:t xml:space="preserve">[1] R4-2507957, WF on </w:t>
      </w:r>
      <w:bookmarkStart w:id="14" w:name="OLE_LINK1"/>
      <w:r>
        <w:rPr>
          <w:rFonts w:hint="eastAsia"/>
          <w:sz w:val="20"/>
          <w:szCs w:val="20"/>
          <w:lang w:val="en-US" w:eastAsia="zh-CN"/>
        </w:rPr>
        <w:t>Modified MPR Behavior</w:t>
      </w:r>
      <w:bookmarkEnd w:id="14"/>
      <w:r>
        <w:rPr>
          <w:rFonts w:hint="eastAsia"/>
          <w:sz w:val="20"/>
          <w:szCs w:val="20"/>
          <w:lang w:val="en-US" w:eastAsia="zh-CN"/>
        </w:rPr>
        <w:t>, Xiaomi</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 xml:space="preserve">[2] </w:t>
      </w:r>
      <w:r>
        <w:rPr>
          <w:rFonts w:hint="eastAsia"/>
          <w:sz w:val="20"/>
          <w:szCs w:val="20"/>
          <w:lang w:val="de-DE" w:eastAsia="zh-CN"/>
        </w:rPr>
        <w:t>R4-2507540</w:t>
      </w:r>
      <w:r>
        <w:rPr>
          <w:rFonts w:hint="eastAsia"/>
          <w:sz w:val="20"/>
          <w:szCs w:val="20"/>
          <w:lang w:val="en-US" w:eastAsia="zh-CN"/>
        </w:rPr>
        <w:t>, Topic summary for [115][101] Upto_R16_UERF_maintenance, moderator(OPPO)</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B0FED5CA"/>
    <w:multiLevelType w:val="singleLevel"/>
    <w:tmpl w:val="B0FED5CA"/>
    <w:lvl w:ilvl="0" w:tentative="0">
      <w:start w:val="1"/>
      <w:numFmt w:val="bullet"/>
      <w:lvlText w:val=""/>
      <w:lvlJc w:val="left"/>
      <w:pPr>
        <w:ind w:left="420" w:hanging="420"/>
      </w:pPr>
      <w:rPr>
        <w:rFonts w:hint="default" w:ascii="Wingdings" w:hAnsi="Wingdings"/>
      </w:rPr>
    </w:lvl>
  </w:abstractNum>
  <w:abstractNum w:abstractNumId="2">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6">
    <w:nsid w:val="3BF61CFE"/>
    <w:multiLevelType w:val="multilevel"/>
    <w:tmpl w:val="3BF61C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C3A6553"/>
    <w:multiLevelType w:val="singleLevel"/>
    <w:tmpl w:val="7C3A6553"/>
    <w:lvl w:ilvl="0" w:tentative="0">
      <w:start w:val="1"/>
      <w:numFmt w:val="bullet"/>
      <w:lvlText w:val=""/>
      <w:lvlJc w:val="left"/>
      <w:pPr>
        <w:ind w:left="420" w:hanging="420"/>
      </w:pPr>
      <w:rPr>
        <w:rFonts w:hint="default" w:ascii="Wingdings" w:hAnsi="Wingdings"/>
      </w:rPr>
    </w:lvl>
  </w:abstractNum>
  <w:num w:numId="1">
    <w:abstractNumId w:val="3"/>
  </w:num>
  <w:num w:numId="2">
    <w:abstractNumId w:val="7"/>
  </w:num>
  <w:num w:numId="3">
    <w:abstractNumId w:val="4"/>
  </w:num>
  <w:num w:numId="4">
    <w:abstractNumId w:val="5"/>
  </w:num>
  <w:num w:numId="5">
    <w:abstractNumId w:val="2"/>
  </w:num>
  <w:num w:numId="6">
    <w:abstractNumId w:val="0"/>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1BDF"/>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10BE"/>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41349"/>
    <w:rsid w:val="014A0623"/>
    <w:rsid w:val="014C6B63"/>
    <w:rsid w:val="01536583"/>
    <w:rsid w:val="015C0811"/>
    <w:rsid w:val="01663610"/>
    <w:rsid w:val="0170606B"/>
    <w:rsid w:val="017131DC"/>
    <w:rsid w:val="01764F01"/>
    <w:rsid w:val="01795BD9"/>
    <w:rsid w:val="018107C9"/>
    <w:rsid w:val="01815F85"/>
    <w:rsid w:val="01837FEF"/>
    <w:rsid w:val="01854FE9"/>
    <w:rsid w:val="018E207B"/>
    <w:rsid w:val="0190283E"/>
    <w:rsid w:val="019A4918"/>
    <w:rsid w:val="019B32C6"/>
    <w:rsid w:val="019C2DEC"/>
    <w:rsid w:val="019D155B"/>
    <w:rsid w:val="01A428BB"/>
    <w:rsid w:val="01AE307F"/>
    <w:rsid w:val="01B35169"/>
    <w:rsid w:val="01BB2C67"/>
    <w:rsid w:val="01BF0B5D"/>
    <w:rsid w:val="01C00B7B"/>
    <w:rsid w:val="01CA360E"/>
    <w:rsid w:val="01D11357"/>
    <w:rsid w:val="01D41341"/>
    <w:rsid w:val="01D46B8D"/>
    <w:rsid w:val="01D80157"/>
    <w:rsid w:val="01D866D8"/>
    <w:rsid w:val="01EE2663"/>
    <w:rsid w:val="01F31C8D"/>
    <w:rsid w:val="01F363BF"/>
    <w:rsid w:val="01F90434"/>
    <w:rsid w:val="01FB366B"/>
    <w:rsid w:val="01FC5FCC"/>
    <w:rsid w:val="01FD3930"/>
    <w:rsid w:val="021B7C87"/>
    <w:rsid w:val="0221260B"/>
    <w:rsid w:val="022C3206"/>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35188"/>
    <w:rsid w:val="02951DBD"/>
    <w:rsid w:val="029A69A7"/>
    <w:rsid w:val="029B04E7"/>
    <w:rsid w:val="029D7AB8"/>
    <w:rsid w:val="02A10998"/>
    <w:rsid w:val="02A705C7"/>
    <w:rsid w:val="02AB0FBC"/>
    <w:rsid w:val="02AE6812"/>
    <w:rsid w:val="02AF3C72"/>
    <w:rsid w:val="02B22D9F"/>
    <w:rsid w:val="02C8305A"/>
    <w:rsid w:val="02D16C80"/>
    <w:rsid w:val="02D75CAB"/>
    <w:rsid w:val="02DA57DA"/>
    <w:rsid w:val="02DC3F9C"/>
    <w:rsid w:val="02E14F55"/>
    <w:rsid w:val="02E845D2"/>
    <w:rsid w:val="02F900F0"/>
    <w:rsid w:val="02FA22E2"/>
    <w:rsid w:val="03032BFE"/>
    <w:rsid w:val="03047DDD"/>
    <w:rsid w:val="03073BDC"/>
    <w:rsid w:val="03086405"/>
    <w:rsid w:val="030B0647"/>
    <w:rsid w:val="030B2860"/>
    <w:rsid w:val="030C40C1"/>
    <w:rsid w:val="030D2F0B"/>
    <w:rsid w:val="030F3B4D"/>
    <w:rsid w:val="031A5FD6"/>
    <w:rsid w:val="03350E4E"/>
    <w:rsid w:val="033C68CE"/>
    <w:rsid w:val="03445E8F"/>
    <w:rsid w:val="03496C64"/>
    <w:rsid w:val="03514002"/>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D3FC4"/>
    <w:rsid w:val="03CF67FA"/>
    <w:rsid w:val="03D7133F"/>
    <w:rsid w:val="03DF1641"/>
    <w:rsid w:val="03E358F3"/>
    <w:rsid w:val="03E5581B"/>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7130A"/>
    <w:rsid w:val="04CC51EB"/>
    <w:rsid w:val="04D76DDC"/>
    <w:rsid w:val="04D86DFB"/>
    <w:rsid w:val="04DA1A87"/>
    <w:rsid w:val="04DD0A04"/>
    <w:rsid w:val="04DE2DA3"/>
    <w:rsid w:val="04EB6DF8"/>
    <w:rsid w:val="04FC1469"/>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3768C"/>
    <w:rsid w:val="05741F0E"/>
    <w:rsid w:val="057D1D66"/>
    <w:rsid w:val="0584418A"/>
    <w:rsid w:val="058E7B70"/>
    <w:rsid w:val="059D265F"/>
    <w:rsid w:val="05B74214"/>
    <w:rsid w:val="05B92EC1"/>
    <w:rsid w:val="05C251E4"/>
    <w:rsid w:val="05C26893"/>
    <w:rsid w:val="05C868B7"/>
    <w:rsid w:val="05CB5B76"/>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1C6C"/>
    <w:rsid w:val="06575D97"/>
    <w:rsid w:val="065D2980"/>
    <w:rsid w:val="06637BD9"/>
    <w:rsid w:val="06674CE7"/>
    <w:rsid w:val="066935ED"/>
    <w:rsid w:val="066C249E"/>
    <w:rsid w:val="066F06B5"/>
    <w:rsid w:val="06782F84"/>
    <w:rsid w:val="067C28D6"/>
    <w:rsid w:val="067E40B7"/>
    <w:rsid w:val="0681696E"/>
    <w:rsid w:val="06851866"/>
    <w:rsid w:val="06863B44"/>
    <w:rsid w:val="068E06BC"/>
    <w:rsid w:val="06907E56"/>
    <w:rsid w:val="069201CB"/>
    <w:rsid w:val="06956E2E"/>
    <w:rsid w:val="06971860"/>
    <w:rsid w:val="069F445A"/>
    <w:rsid w:val="06A94B4A"/>
    <w:rsid w:val="06B741D9"/>
    <w:rsid w:val="06BF7310"/>
    <w:rsid w:val="06C457B6"/>
    <w:rsid w:val="06CA32D6"/>
    <w:rsid w:val="06CD4A70"/>
    <w:rsid w:val="06DA3FB0"/>
    <w:rsid w:val="06DF4C13"/>
    <w:rsid w:val="06E34232"/>
    <w:rsid w:val="06E7678C"/>
    <w:rsid w:val="06E80366"/>
    <w:rsid w:val="06ED5C56"/>
    <w:rsid w:val="06F13CA3"/>
    <w:rsid w:val="06F14C51"/>
    <w:rsid w:val="06F42A88"/>
    <w:rsid w:val="06F801C0"/>
    <w:rsid w:val="06FF5F35"/>
    <w:rsid w:val="07076F12"/>
    <w:rsid w:val="070E5EE2"/>
    <w:rsid w:val="07105178"/>
    <w:rsid w:val="0712124C"/>
    <w:rsid w:val="071426A5"/>
    <w:rsid w:val="071614A3"/>
    <w:rsid w:val="071A1AB9"/>
    <w:rsid w:val="071C13A8"/>
    <w:rsid w:val="07330445"/>
    <w:rsid w:val="07346273"/>
    <w:rsid w:val="073841C1"/>
    <w:rsid w:val="073D143C"/>
    <w:rsid w:val="073E1A3D"/>
    <w:rsid w:val="0745615D"/>
    <w:rsid w:val="0747308D"/>
    <w:rsid w:val="074855FD"/>
    <w:rsid w:val="07572C7B"/>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567B5"/>
    <w:rsid w:val="07B9290D"/>
    <w:rsid w:val="07BE52B9"/>
    <w:rsid w:val="07BF7CC6"/>
    <w:rsid w:val="07C55A1A"/>
    <w:rsid w:val="07CD6CAA"/>
    <w:rsid w:val="07CE3349"/>
    <w:rsid w:val="07D26643"/>
    <w:rsid w:val="07D57946"/>
    <w:rsid w:val="07E2277C"/>
    <w:rsid w:val="07E6675C"/>
    <w:rsid w:val="07ED524D"/>
    <w:rsid w:val="07EF3E3F"/>
    <w:rsid w:val="07FC1127"/>
    <w:rsid w:val="080124E3"/>
    <w:rsid w:val="080B341D"/>
    <w:rsid w:val="080C7FA0"/>
    <w:rsid w:val="08120068"/>
    <w:rsid w:val="08162951"/>
    <w:rsid w:val="08193C24"/>
    <w:rsid w:val="082D6315"/>
    <w:rsid w:val="082E1A08"/>
    <w:rsid w:val="082E1CC1"/>
    <w:rsid w:val="083210C7"/>
    <w:rsid w:val="08341060"/>
    <w:rsid w:val="083D71D5"/>
    <w:rsid w:val="085514F1"/>
    <w:rsid w:val="085A292F"/>
    <w:rsid w:val="085A5F4A"/>
    <w:rsid w:val="08675174"/>
    <w:rsid w:val="08732D34"/>
    <w:rsid w:val="0875131E"/>
    <w:rsid w:val="08787FF0"/>
    <w:rsid w:val="08824DF0"/>
    <w:rsid w:val="0889002B"/>
    <w:rsid w:val="089B79D9"/>
    <w:rsid w:val="089C7469"/>
    <w:rsid w:val="08A44DA6"/>
    <w:rsid w:val="08AA245A"/>
    <w:rsid w:val="08AC1732"/>
    <w:rsid w:val="08BA6E24"/>
    <w:rsid w:val="08C024D5"/>
    <w:rsid w:val="08C562FD"/>
    <w:rsid w:val="08CA27B1"/>
    <w:rsid w:val="08D25907"/>
    <w:rsid w:val="08DB4458"/>
    <w:rsid w:val="08E916DF"/>
    <w:rsid w:val="08F3022B"/>
    <w:rsid w:val="08F473EA"/>
    <w:rsid w:val="08F815F3"/>
    <w:rsid w:val="08F96E54"/>
    <w:rsid w:val="08FC0AA5"/>
    <w:rsid w:val="09064A54"/>
    <w:rsid w:val="090868CF"/>
    <w:rsid w:val="090B34E3"/>
    <w:rsid w:val="091603F1"/>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8A440F"/>
    <w:rsid w:val="099B44BE"/>
    <w:rsid w:val="099E4326"/>
    <w:rsid w:val="09B7610E"/>
    <w:rsid w:val="09BD407A"/>
    <w:rsid w:val="09CD7D07"/>
    <w:rsid w:val="09DA0E26"/>
    <w:rsid w:val="09E55691"/>
    <w:rsid w:val="09EA29E1"/>
    <w:rsid w:val="09EB2B51"/>
    <w:rsid w:val="09EF09C1"/>
    <w:rsid w:val="09EF75D1"/>
    <w:rsid w:val="09F43460"/>
    <w:rsid w:val="09F67CD5"/>
    <w:rsid w:val="0A054821"/>
    <w:rsid w:val="0A0835C8"/>
    <w:rsid w:val="0A145721"/>
    <w:rsid w:val="0A25764B"/>
    <w:rsid w:val="0A2C297E"/>
    <w:rsid w:val="0A307C92"/>
    <w:rsid w:val="0A355EAA"/>
    <w:rsid w:val="0A3708FF"/>
    <w:rsid w:val="0A3B01F9"/>
    <w:rsid w:val="0A3B07BE"/>
    <w:rsid w:val="0A3F0488"/>
    <w:rsid w:val="0A402A36"/>
    <w:rsid w:val="0A4236A3"/>
    <w:rsid w:val="0A49096C"/>
    <w:rsid w:val="0A4E7EF5"/>
    <w:rsid w:val="0A646846"/>
    <w:rsid w:val="0A76304F"/>
    <w:rsid w:val="0A792F51"/>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45A78"/>
    <w:rsid w:val="0ABF3E2E"/>
    <w:rsid w:val="0AC01F88"/>
    <w:rsid w:val="0AC0212C"/>
    <w:rsid w:val="0AC029AC"/>
    <w:rsid w:val="0AC55D37"/>
    <w:rsid w:val="0AC81C45"/>
    <w:rsid w:val="0AD542C1"/>
    <w:rsid w:val="0ADD5A20"/>
    <w:rsid w:val="0ADF65DA"/>
    <w:rsid w:val="0AE10FD9"/>
    <w:rsid w:val="0AF13898"/>
    <w:rsid w:val="0AFB1BDE"/>
    <w:rsid w:val="0AFB3228"/>
    <w:rsid w:val="0AFC6C07"/>
    <w:rsid w:val="0B0250FD"/>
    <w:rsid w:val="0B050AFA"/>
    <w:rsid w:val="0B0F025C"/>
    <w:rsid w:val="0B1A6333"/>
    <w:rsid w:val="0B2713F4"/>
    <w:rsid w:val="0B2E7CE5"/>
    <w:rsid w:val="0B3D701F"/>
    <w:rsid w:val="0B3E7DD7"/>
    <w:rsid w:val="0B4032C4"/>
    <w:rsid w:val="0B481192"/>
    <w:rsid w:val="0B494066"/>
    <w:rsid w:val="0B4D4BB3"/>
    <w:rsid w:val="0B4F7F8D"/>
    <w:rsid w:val="0B561995"/>
    <w:rsid w:val="0B5C2C2A"/>
    <w:rsid w:val="0B655C41"/>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BE512C4"/>
    <w:rsid w:val="0C064507"/>
    <w:rsid w:val="0C1E494F"/>
    <w:rsid w:val="0C3427D0"/>
    <w:rsid w:val="0C43327D"/>
    <w:rsid w:val="0C4426AF"/>
    <w:rsid w:val="0C4577EC"/>
    <w:rsid w:val="0C4A716F"/>
    <w:rsid w:val="0C4F7881"/>
    <w:rsid w:val="0C5C6396"/>
    <w:rsid w:val="0C63431B"/>
    <w:rsid w:val="0C650A20"/>
    <w:rsid w:val="0C690EFA"/>
    <w:rsid w:val="0C6E11B8"/>
    <w:rsid w:val="0C6F2ED3"/>
    <w:rsid w:val="0C723CD1"/>
    <w:rsid w:val="0C7A1B03"/>
    <w:rsid w:val="0C7C40BF"/>
    <w:rsid w:val="0C8005ED"/>
    <w:rsid w:val="0C814739"/>
    <w:rsid w:val="0C8601BF"/>
    <w:rsid w:val="0C863429"/>
    <w:rsid w:val="0C8B63A3"/>
    <w:rsid w:val="0C9C5227"/>
    <w:rsid w:val="0C9F6AEC"/>
    <w:rsid w:val="0CB819EA"/>
    <w:rsid w:val="0CB94808"/>
    <w:rsid w:val="0CC11AEF"/>
    <w:rsid w:val="0CC37BC2"/>
    <w:rsid w:val="0CCB7A8E"/>
    <w:rsid w:val="0CD33BF2"/>
    <w:rsid w:val="0CD87ABE"/>
    <w:rsid w:val="0CD90733"/>
    <w:rsid w:val="0CE26C42"/>
    <w:rsid w:val="0CE632FF"/>
    <w:rsid w:val="0CE76B48"/>
    <w:rsid w:val="0CEB5DBE"/>
    <w:rsid w:val="0CF33CFD"/>
    <w:rsid w:val="0CF6484A"/>
    <w:rsid w:val="0CFB523A"/>
    <w:rsid w:val="0CFC15F0"/>
    <w:rsid w:val="0D0227BA"/>
    <w:rsid w:val="0D042083"/>
    <w:rsid w:val="0D1B1E9C"/>
    <w:rsid w:val="0D2716E6"/>
    <w:rsid w:val="0D3226D5"/>
    <w:rsid w:val="0D4B44A1"/>
    <w:rsid w:val="0D6468BA"/>
    <w:rsid w:val="0D6811B4"/>
    <w:rsid w:val="0D6E2620"/>
    <w:rsid w:val="0D704E21"/>
    <w:rsid w:val="0D751A5B"/>
    <w:rsid w:val="0D7A2BC8"/>
    <w:rsid w:val="0D7F48FE"/>
    <w:rsid w:val="0D883C88"/>
    <w:rsid w:val="0D936E72"/>
    <w:rsid w:val="0D966BF7"/>
    <w:rsid w:val="0D9B5860"/>
    <w:rsid w:val="0DAA3F6B"/>
    <w:rsid w:val="0DB84E5F"/>
    <w:rsid w:val="0DB94E10"/>
    <w:rsid w:val="0DC44067"/>
    <w:rsid w:val="0DCC3AE8"/>
    <w:rsid w:val="0DD04A36"/>
    <w:rsid w:val="0DD87842"/>
    <w:rsid w:val="0DE35C55"/>
    <w:rsid w:val="0DE45DFB"/>
    <w:rsid w:val="0DF202E1"/>
    <w:rsid w:val="0DF513F2"/>
    <w:rsid w:val="0DF53CE3"/>
    <w:rsid w:val="0DFE5246"/>
    <w:rsid w:val="0E0961C5"/>
    <w:rsid w:val="0E147898"/>
    <w:rsid w:val="0E183199"/>
    <w:rsid w:val="0E1E28C0"/>
    <w:rsid w:val="0E2A7688"/>
    <w:rsid w:val="0E2F216B"/>
    <w:rsid w:val="0E3352C6"/>
    <w:rsid w:val="0E3A5EE2"/>
    <w:rsid w:val="0E542F3B"/>
    <w:rsid w:val="0E6271C6"/>
    <w:rsid w:val="0E6271DF"/>
    <w:rsid w:val="0E655A78"/>
    <w:rsid w:val="0E681731"/>
    <w:rsid w:val="0E6C5EC6"/>
    <w:rsid w:val="0E7071B5"/>
    <w:rsid w:val="0E752FC5"/>
    <w:rsid w:val="0E8015C3"/>
    <w:rsid w:val="0E81568A"/>
    <w:rsid w:val="0E924723"/>
    <w:rsid w:val="0E942250"/>
    <w:rsid w:val="0E963344"/>
    <w:rsid w:val="0E9E6E00"/>
    <w:rsid w:val="0EA40C1C"/>
    <w:rsid w:val="0EB4475F"/>
    <w:rsid w:val="0EB72E4B"/>
    <w:rsid w:val="0EB91987"/>
    <w:rsid w:val="0EC9550B"/>
    <w:rsid w:val="0ECC06FC"/>
    <w:rsid w:val="0ED07B90"/>
    <w:rsid w:val="0EDA2BCA"/>
    <w:rsid w:val="0EDC55F1"/>
    <w:rsid w:val="0EEC12C6"/>
    <w:rsid w:val="0EEC6F1D"/>
    <w:rsid w:val="0EF00D65"/>
    <w:rsid w:val="0EF33893"/>
    <w:rsid w:val="0EFB6721"/>
    <w:rsid w:val="0EFF5127"/>
    <w:rsid w:val="0F054463"/>
    <w:rsid w:val="0F0A7E9F"/>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247B6"/>
    <w:rsid w:val="0F764270"/>
    <w:rsid w:val="0F773D64"/>
    <w:rsid w:val="0F7756E1"/>
    <w:rsid w:val="0F790C96"/>
    <w:rsid w:val="0F7F273F"/>
    <w:rsid w:val="0F8418ED"/>
    <w:rsid w:val="0F8B3B86"/>
    <w:rsid w:val="0F957B47"/>
    <w:rsid w:val="0F98796C"/>
    <w:rsid w:val="0F9F6FA4"/>
    <w:rsid w:val="0FA65D5C"/>
    <w:rsid w:val="0FA83295"/>
    <w:rsid w:val="0FAD33DA"/>
    <w:rsid w:val="0FBE2A42"/>
    <w:rsid w:val="0FBF1587"/>
    <w:rsid w:val="0FBF686B"/>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20A1A"/>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BB7B3F"/>
    <w:rsid w:val="11C427F5"/>
    <w:rsid w:val="11C67B8F"/>
    <w:rsid w:val="11CA11D0"/>
    <w:rsid w:val="11CE730E"/>
    <w:rsid w:val="11D658B4"/>
    <w:rsid w:val="11D75BF2"/>
    <w:rsid w:val="11D815C4"/>
    <w:rsid w:val="11D910AD"/>
    <w:rsid w:val="11E55FA1"/>
    <w:rsid w:val="11E57D4F"/>
    <w:rsid w:val="11EB32FE"/>
    <w:rsid w:val="11ED5EAE"/>
    <w:rsid w:val="11EE6703"/>
    <w:rsid w:val="11F43E80"/>
    <w:rsid w:val="11F62C9D"/>
    <w:rsid w:val="11F67383"/>
    <w:rsid w:val="11F92DAB"/>
    <w:rsid w:val="11FC38D5"/>
    <w:rsid w:val="11FE0013"/>
    <w:rsid w:val="1210682D"/>
    <w:rsid w:val="12162A85"/>
    <w:rsid w:val="121A40C0"/>
    <w:rsid w:val="121E2AC6"/>
    <w:rsid w:val="12301C61"/>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81295"/>
    <w:rsid w:val="12EE5106"/>
    <w:rsid w:val="12EE67A1"/>
    <w:rsid w:val="13012EB4"/>
    <w:rsid w:val="1307341C"/>
    <w:rsid w:val="130C40FE"/>
    <w:rsid w:val="130E3629"/>
    <w:rsid w:val="131B39DD"/>
    <w:rsid w:val="131E2669"/>
    <w:rsid w:val="13216E71"/>
    <w:rsid w:val="13283BA4"/>
    <w:rsid w:val="132B7780"/>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C730A"/>
    <w:rsid w:val="13CE7C74"/>
    <w:rsid w:val="13CE7FED"/>
    <w:rsid w:val="13D024B3"/>
    <w:rsid w:val="13D115EF"/>
    <w:rsid w:val="13D34D49"/>
    <w:rsid w:val="13D40AF3"/>
    <w:rsid w:val="13D86A45"/>
    <w:rsid w:val="13D92D9C"/>
    <w:rsid w:val="13DA7E7F"/>
    <w:rsid w:val="13DD445E"/>
    <w:rsid w:val="13DE7C83"/>
    <w:rsid w:val="13E513FB"/>
    <w:rsid w:val="13F0242F"/>
    <w:rsid w:val="13F7751B"/>
    <w:rsid w:val="13FD073F"/>
    <w:rsid w:val="140171D9"/>
    <w:rsid w:val="1405674E"/>
    <w:rsid w:val="140815BB"/>
    <w:rsid w:val="14087FC1"/>
    <w:rsid w:val="14095006"/>
    <w:rsid w:val="14174089"/>
    <w:rsid w:val="141C71BE"/>
    <w:rsid w:val="141E583B"/>
    <w:rsid w:val="14200F48"/>
    <w:rsid w:val="1424615D"/>
    <w:rsid w:val="14246F26"/>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C43F9"/>
    <w:rsid w:val="14AD3324"/>
    <w:rsid w:val="14C45576"/>
    <w:rsid w:val="14C76D6C"/>
    <w:rsid w:val="14CB0971"/>
    <w:rsid w:val="14CB7E6E"/>
    <w:rsid w:val="14CE33C4"/>
    <w:rsid w:val="14DA3DA1"/>
    <w:rsid w:val="14E31554"/>
    <w:rsid w:val="14E60B42"/>
    <w:rsid w:val="14EA1C4D"/>
    <w:rsid w:val="15006FD3"/>
    <w:rsid w:val="15012AC6"/>
    <w:rsid w:val="150222BF"/>
    <w:rsid w:val="15075355"/>
    <w:rsid w:val="150F7C33"/>
    <w:rsid w:val="15106414"/>
    <w:rsid w:val="1515004B"/>
    <w:rsid w:val="151B7C99"/>
    <w:rsid w:val="15207BBA"/>
    <w:rsid w:val="15243E2F"/>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16A3E"/>
    <w:rsid w:val="15BD66BF"/>
    <w:rsid w:val="15BE2FC0"/>
    <w:rsid w:val="15C526A4"/>
    <w:rsid w:val="15C95B15"/>
    <w:rsid w:val="15DC75CF"/>
    <w:rsid w:val="15E30A80"/>
    <w:rsid w:val="15E310C1"/>
    <w:rsid w:val="15E5344B"/>
    <w:rsid w:val="15E87E4F"/>
    <w:rsid w:val="15FB16C4"/>
    <w:rsid w:val="1608480E"/>
    <w:rsid w:val="161C1C58"/>
    <w:rsid w:val="161D796F"/>
    <w:rsid w:val="1622315D"/>
    <w:rsid w:val="1626155A"/>
    <w:rsid w:val="16282C4E"/>
    <w:rsid w:val="1629434E"/>
    <w:rsid w:val="162E1BBF"/>
    <w:rsid w:val="162F7556"/>
    <w:rsid w:val="163F620C"/>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96E1A"/>
    <w:rsid w:val="16DD3B26"/>
    <w:rsid w:val="16EB6E00"/>
    <w:rsid w:val="16EE7649"/>
    <w:rsid w:val="16F04615"/>
    <w:rsid w:val="16F24A30"/>
    <w:rsid w:val="16F55F75"/>
    <w:rsid w:val="16FC375F"/>
    <w:rsid w:val="16FD2447"/>
    <w:rsid w:val="17081A43"/>
    <w:rsid w:val="170B631B"/>
    <w:rsid w:val="1712339A"/>
    <w:rsid w:val="171B1C8E"/>
    <w:rsid w:val="171E63FC"/>
    <w:rsid w:val="172244D9"/>
    <w:rsid w:val="1722504D"/>
    <w:rsid w:val="17240A09"/>
    <w:rsid w:val="172A662B"/>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7F1919"/>
    <w:rsid w:val="17830A97"/>
    <w:rsid w:val="17850F99"/>
    <w:rsid w:val="17875303"/>
    <w:rsid w:val="178815C4"/>
    <w:rsid w:val="178B09EF"/>
    <w:rsid w:val="1793626E"/>
    <w:rsid w:val="17991452"/>
    <w:rsid w:val="17A622BB"/>
    <w:rsid w:val="17A875F5"/>
    <w:rsid w:val="17AB40A1"/>
    <w:rsid w:val="17AC60A9"/>
    <w:rsid w:val="17B5256D"/>
    <w:rsid w:val="17B92501"/>
    <w:rsid w:val="17BF23A8"/>
    <w:rsid w:val="17CD2623"/>
    <w:rsid w:val="17D651ED"/>
    <w:rsid w:val="17E65848"/>
    <w:rsid w:val="17E66DD8"/>
    <w:rsid w:val="17E84839"/>
    <w:rsid w:val="17ED035B"/>
    <w:rsid w:val="17EE1403"/>
    <w:rsid w:val="17F25234"/>
    <w:rsid w:val="17FD061B"/>
    <w:rsid w:val="17FF6314"/>
    <w:rsid w:val="1800350F"/>
    <w:rsid w:val="18005F41"/>
    <w:rsid w:val="18025414"/>
    <w:rsid w:val="180E3727"/>
    <w:rsid w:val="180F4DB8"/>
    <w:rsid w:val="18171305"/>
    <w:rsid w:val="182543BD"/>
    <w:rsid w:val="18334194"/>
    <w:rsid w:val="183E1D37"/>
    <w:rsid w:val="183F057B"/>
    <w:rsid w:val="18482A17"/>
    <w:rsid w:val="184D0787"/>
    <w:rsid w:val="184F4D08"/>
    <w:rsid w:val="185D1883"/>
    <w:rsid w:val="185E3AA1"/>
    <w:rsid w:val="18742BD5"/>
    <w:rsid w:val="1880065C"/>
    <w:rsid w:val="18812331"/>
    <w:rsid w:val="18816F1C"/>
    <w:rsid w:val="18853F3E"/>
    <w:rsid w:val="18956393"/>
    <w:rsid w:val="18973A02"/>
    <w:rsid w:val="18A07470"/>
    <w:rsid w:val="18A8582C"/>
    <w:rsid w:val="18AB3604"/>
    <w:rsid w:val="18B15BA9"/>
    <w:rsid w:val="18B50543"/>
    <w:rsid w:val="18C515FC"/>
    <w:rsid w:val="18CA40C3"/>
    <w:rsid w:val="18CC73BC"/>
    <w:rsid w:val="18CD7A02"/>
    <w:rsid w:val="18DA68F6"/>
    <w:rsid w:val="18E21EFF"/>
    <w:rsid w:val="18E76A4C"/>
    <w:rsid w:val="18F32AFF"/>
    <w:rsid w:val="18F37652"/>
    <w:rsid w:val="19001FFC"/>
    <w:rsid w:val="190E2B4A"/>
    <w:rsid w:val="19127B31"/>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A70BB"/>
    <w:rsid w:val="199B4699"/>
    <w:rsid w:val="19A40543"/>
    <w:rsid w:val="19A91329"/>
    <w:rsid w:val="19B250D3"/>
    <w:rsid w:val="19B46E10"/>
    <w:rsid w:val="19C456C1"/>
    <w:rsid w:val="19C47D20"/>
    <w:rsid w:val="19C7308A"/>
    <w:rsid w:val="19C96BAE"/>
    <w:rsid w:val="19DB6A7E"/>
    <w:rsid w:val="19DF018D"/>
    <w:rsid w:val="19E65498"/>
    <w:rsid w:val="19F061A1"/>
    <w:rsid w:val="19F3324D"/>
    <w:rsid w:val="1A0533CB"/>
    <w:rsid w:val="1A054259"/>
    <w:rsid w:val="1A081816"/>
    <w:rsid w:val="1A0C5680"/>
    <w:rsid w:val="1A0E5BE4"/>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140826"/>
    <w:rsid w:val="1B183137"/>
    <w:rsid w:val="1B2160BB"/>
    <w:rsid w:val="1B232CAD"/>
    <w:rsid w:val="1B2E5348"/>
    <w:rsid w:val="1B3137EE"/>
    <w:rsid w:val="1B3637AD"/>
    <w:rsid w:val="1B3E0DB5"/>
    <w:rsid w:val="1B435D31"/>
    <w:rsid w:val="1B454C94"/>
    <w:rsid w:val="1B496377"/>
    <w:rsid w:val="1B506283"/>
    <w:rsid w:val="1B5442A5"/>
    <w:rsid w:val="1B6515DA"/>
    <w:rsid w:val="1B6C0DF0"/>
    <w:rsid w:val="1B7034E2"/>
    <w:rsid w:val="1B733E18"/>
    <w:rsid w:val="1B797F1F"/>
    <w:rsid w:val="1B7F6005"/>
    <w:rsid w:val="1B862C77"/>
    <w:rsid w:val="1B8B54B4"/>
    <w:rsid w:val="1B94236B"/>
    <w:rsid w:val="1B9A1502"/>
    <w:rsid w:val="1B9A4A8D"/>
    <w:rsid w:val="1B9C269A"/>
    <w:rsid w:val="1B9E64C5"/>
    <w:rsid w:val="1B9E6D4C"/>
    <w:rsid w:val="1BA252C1"/>
    <w:rsid w:val="1BAA1E83"/>
    <w:rsid w:val="1BAF07EF"/>
    <w:rsid w:val="1BBD43BA"/>
    <w:rsid w:val="1BC01115"/>
    <w:rsid w:val="1BC44015"/>
    <w:rsid w:val="1BCA6284"/>
    <w:rsid w:val="1BE475CF"/>
    <w:rsid w:val="1BE94688"/>
    <w:rsid w:val="1BEA3348"/>
    <w:rsid w:val="1BFE5FF9"/>
    <w:rsid w:val="1C013494"/>
    <w:rsid w:val="1C053414"/>
    <w:rsid w:val="1C132CB9"/>
    <w:rsid w:val="1C1642A1"/>
    <w:rsid w:val="1C205B60"/>
    <w:rsid w:val="1C207A38"/>
    <w:rsid w:val="1C273D33"/>
    <w:rsid w:val="1C274D98"/>
    <w:rsid w:val="1C2B678D"/>
    <w:rsid w:val="1C395CFF"/>
    <w:rsid w:val="1C3C4DD9"/>
    <w:rsid w:val="1C4032AB"/>
    <w:rsid w:val="1C4672ED"/>
    <w:rsid w:val="1C467AB6"/>
    <w:rsid w:val="1C62044F"/>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BF11D3"/>
    <w:rsid w:val="1CC27801"/>
    <w:rsid w:val="1CC3372C"/>
    <w:rsid w:val="1CC73770"/>
    <w:rsid w:val="1CC84A93"/>
    <w:rsid w:val="1CCC26CA"/>
    <w:rsid w:val="1CCF6CAF"/>
    <w:rsid w:val="1CD2156B"/>
    <w:rsid w:val="1CD41743"/>
    <w:rsid w:val="1CD44D3D"/>
    <w:rsid w:val="1CD51DA1"/>
    <w:rsid w:val="1CE45EF5"/>
    <w:rsid w:val="1CE615C9"/>
    <w:rsid w:val="1D037029"/>
    <w:rsid w:val="1D051DAC"/>
    <w:rsid w:val="1D1316E8"/>
    <w:rsid w:val="1D1D7103"/>
    <w:rsid w:val="1D291DAB"/>
    <w:rsid w:val="1D2B0BB4"/>
    <w:rsid w:val="1D3305FF"/>
    <w:rsid w:val="1D335FC4"/>
    <w:rsid w:val="1D395282"/>
    <w:rsid w:val="1D4251BA"/>
    <w:rsid w:val="1D465448"/>
    <w:rsid w:val="1D551881"/>
    <w:rsid w:val="1D5959E7"/>
    <w:rsid w:val="1D5F5386"/>
    <w:rsid w:val="1D7072CE"/>
    <w:rsid w:val="1D794A16"/>
    <w:rsid w:val="1D795467"/>
    <w:rsid w:val="1D8160F6"/>
    <w:rsid w:val="1D834FEF"/>
    <w:rsid w:val="1D966154"/>
    <w:rsid w:val="1D9835BE"/>
    <w:rsid w:val="1D9E30A9"/>
    <w:rsid w:val="1DA142D7"/>
    <w:rsid w:val="1DA33B45"/>
    <w:rsid w:val="1DA54EF3"/>
    <w:rsid w:val="1DAB1006"/>
    <w:rsid w:val="1DB33C11"/>
    <w:rsid w:val="1DB34347"/>
    <w:rsid w:val="1DC12FD6"/>
    <w:rsid w:val="1DC65562"/>
    <w:rsid w:val="1DCE33C5"/>
    <w:rsid w:val="1DD13720"/>
    <w:rsid w:val="1DD40512"/>
    <w:rsid w:val="1DD555D5"/>
    <w:rsid w:val="1DE24E96"/>
    <w:rsid w:val="1DE94164"/>
    <w:rsid w:val="1DEE1B11"/>
    <w:rsid w:val="1DF51CE6"/>
    <w:rsid w:val="1DFB6F31"/>
    <w:rsid w:val="1DFF4E59"/>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6A2E09"/>
    <w:rsid w:val="1E7B0026"/>
    <w:rsid w:val="1E7E6BFD"/>
    <w:rsid w:val="1E805396"/>
    <w:rsid w:val="1E884F62"/>
    <w:rsid w:val="1E9D6342"/>
    <w:rsid w:val="1E9D6D15"/>
    <w:rsid w:val="1EA77730"/>
    <w:rsid w:val="1EAE0680"/>
    <w:rsid w:val="1EAF5D76"/>
    <w:rsid w:val="1EBD1EAD"/>
    <w:rsid w:val="1EC214C3"/>
    <w:rsid w:val="1EC36E9D"/>
    <w:rsid w:val="1EC97240"/>
    <w:rsid w:val="1ECA4D4D"/>
    <w:rsid w:val="1ECD6B66"/>
    <w:rsid w:val="1ED701E3"/>
    <w:rsid w:val="1EE25FDD"/>
    <w:rsid w:val="1EF5103F"/>
    <w:rsid w:val="1EF856C6"/>
    <w:rsid w:val="1EFF621F"/>
    <w:rsid w:val="1F090F9B"/>
    <w:rsid w:val="1F0E2B48"/>
    <w:rsid w:val="1F0E5D6B"/>
    <w:rsid w:val="1F165B61"/>
    <w:rsid w:val="1F1921D7"/>
    <w:rsid w:val="1F3234E6"/>
    <w:rsid w:val="1F335242"/>
    <w:rsid w:val="1F3C6C9E"/>
    <w:rsid w:val="1F3E605E"/>
    <w:rsid w:val="1F3E662A"/>
    <w:rsid w:val="1F417C0A"/>
    <w:rsid w:val="1F482412"/>
    <w:rsid w:val="1F4F2219"/>
    <w:rsid w:val="1F5D2184"/>
    <w:rsid w:val="1F614D01"/>
    <w:rsid w:val="1F6949A7"/>
    <w:rsid w:val="1F721405"/>
    <w:rsid w:val="1F8A2738"/>
    <w:rsid w:val="1F935819"/>
    <w:rsid w:val="1F9F1A13"/>
    <w:rsid w:val="1FA076DC"/>
    <w:rsid w:val="1FA6556D"/>
    <w:rsid w:val="1FAE0821"/>
    <w:rsid w:val="1FAF2571"/>
    <w:rsid w:val="1FB7507F"/>
    <w:rsid w:val="1FC07E48"/>
    <w:rsid w:val="1FC47ECF"/>
    <w:rsid w:val="1FC55EDA"/>
    <w:rsid w:val="1FC62C2C"/>
    <w:rsid w:val="1FC66FF1"/>
    <w:rsid w:val="1FCE593C"/>
    <w:rsid w:val="1FD175A8"/>
    <w:rsid w:val="1FD81D98"/>
    <w:rsid w:val="1FE312AC"/>
    <w:rsid w:val="1FE34925"/>
    <w:rsid w:val="1FEC5915"/>
    <w:rsid w:val="1FED32EF"/>
    <w:rsid w:val="200F7CB6"/>
    <w:rsid w:val="201743BA"/>
    <w:rsid w:val="201E47E7"/>
    <w:rsid w:val="201E6D7C"/>
    <w:rsid w:val="20280BF3"/>
    <w:rsid w:val="202E2AB2"/>
    <w:rsid w:val="20355E85"/>
    <w:rsid w:val="20362A4E"/>
    <w:rsid w:val="20392DEC"/>
    <w:rsid w:val="203C5493"/>
    <w:rsid w:val="203D340C"/>
    <w:rsid w:val="203D7ACF"/>
    <w:rsid w:val="203F0A07"/>
    <w:rsid w:val="20446081"/>
    <w:rsid w:val="204852AD"/>
    <w:rsid w:val="204A0286"/>
    <w:rsid w:val="204E6676"/>
    <w:rsid w:val="205A5AA0"/>
    <w:rsid w:val="206035CA"/>
    <w:rsid w:val="20677607"/>
    <w:rsid w:val="20685BC4"/>
    <w:rsid w:val="20773A28"/>
    <w:rsid w:val="20776154"/>
    <w:rsid w:val="208574F4"/>
    <w:rsid w:val="20862E15"/>
    <w:rsid w:val="208C4449"/>
    <w:rsid w:val="208C7CC6"/>
    <w:rsid w:val="208F6BAF"/>
    <w:rsid w:val="20966D8D"/>
    <w:rsid w:val="20A462BA"/>
    <w:rsid w:val="20BB4EA4"/>
    <w:rsid w:val="20BF2AAC"/>
    <w:rsid w:val="20BF42D2"/>
    <w:rsid w:val="20C245BE"/>
    <w:rsid w:val="20C6317E"/>
    <w:rsid w:val="20C849C7"/>
    <w:rsid w:val="20C96A07"/>
    <w:rsid w:val="20CA03C3"/>
    <w:rsid w:val="20CB3B33"/>
    <w:rsid w:val="20D51E1A"/>
    <w:rsid w:val="20DB75CF"/>
    <w:rsid w:val="20DF66D2"/>
    <w:rsid w:val="20EC3F2E"/>
    <w:rsid w:val="20EC7C3E"/>
    <w:rsid w:val="20ED4B17"/>
    <w:rsid w:val="20F16108"/>
    <w:rsid w:val="210548E9"/>
    <w:rsid w:val="21124D15"/>
    <w:rsid w:val="2128615F"/>
    <w:rsid w:val="212A5BF7"/>
    <w:rsid w:val="213533EC"/>
    <w:rsid w:val="213C7197"/>
    <w:rsid w:val="213E7119"/>
    <w:rsid w:val="214369E8"/>
    <w:rsid w:val="214D1729"/>
    <w:rsid w:val="21530058"/>
    <w:rsid w:val="216A2141"/>
    <w:rsid w:val="21774C7C"/>
    <w:rsid w:val="21810744"/>
    <w:rsid w:val="218374D1"/>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1FC29CB"/>
    <w:rsid w:val="21FE27A7"/>
    <w:rsid w:val="221D2FA3"/>
    <w:rsid w:val="2226635F"/>
    <w:rsid w:val="222A579A"/>
    <w:rsid w:val="222D4F0B"/>
    <w:rsid w:val="22322BA7"/>
    <w:rsid w:val="223A2C9C"/>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CF0647"/>
    <w:rsid w:val="22D9694E"/>
    <w:rsid w:val="22DD69A8"/>
    <w:rsid w:val="22E02C6E"/>
    <w:rsid w:val="22E04FF4"/>
    <w:rsid w:val="22E105B9"/>
    <w:rsid w:val="22E1121B"/>
    <w:rsid w:val="22EA4C70"/>
    <w:rsid w:val="22F75251"/>
    <w:rsid w:val="22F86F75"/>
    <w:rsid w:val="22FB1A19"/>
    <w:rsid w:val="22FB4D32"/>
    <w:rsid w:val="23060BC9"/>
    <w:rsid w:val="23131055"/>
    <w:rsid w:val="231941AC"/>
    <w:rsid w:val="233C6F76"/>
    <w:rsid w:val="233C72F1"/>
    <w:rsid w:val="233E0A51"/>
    <w:rsid w:val="234130C7"/>
    <w:rsid w:val="234449F5"/>
    <w:rsid w:val="23460DA0"/>
    <w:rsid w:val="23536618"/>
    <w:rsid w:val="236D3C72"/>
    <w:rsid w:val="236F277C"/>
    <w:rsid w:val="237216BA"/>
    <w:rsid w:val="23742CA1"/>
    <w:rsid w:val="237E4AC9"/>
    <w:rsid w:val="23816932"/>
    <w:rsid w:val="23886A2D"/>
    <w:rsid w:val="238E2016"/>
    <w:rsid w:val="238F70F2"/>
    <w:rsid w:val="239C062C"/>
    <w:rsid w:val="23A9283B"/>
    <w:rsid w:val="23A9484E"/>
    <w:rsid w:val="23B32F98"/>
    <w:rsid w:val="23B36F54"/>
    <w:rsid w:val="23B84268"/>
    <w:rsid w:val="23BC3AB0"/>
    <w:rsid w:val="23C10881"/>
    <w:rsid w:val="23C5553B"/>
    <w:rsid w:val="23D17D7B"/>
    <w:rsid w:val="23D36D91"/>
    <w:rsid w:val="23DA1C5E"/>
    <w:rsid w:val="23DD3EC1"/>
    <w:rsid w:val="23E344C7"/>
    <w:rsid w:val="23F70BA5"/>
    <w:rsid w:val="23F93D0D"/>
    <w:rsid w:val="23FD0F19"/>
    <w:rsid w:val="240366A5"/>
    <w:rsid w:val="2405417E"/>
    <w:rsid w:val="240C1E07"/>
    <w:rsid w:val="240F5116"/>
    <w:rsid w:val="241B5C62"/>
    <w:rsid w:val="241C5F7B"/>
    <w:rsid w:val="24280875"/>
    <w:rsid w:val="24363AB1"/>
    <w:rsid w:val="24377DB7"/>
    <w:rsid w:val="243B745E"/>
    <w:rsid w:val="244061E6"/>
    <w:rsid w:val="24427A08"/>
    <w:rsid w:val="24454B90"/>
    <w:rsid w:val="24572B1C"/>
    <w:rsid w:val="2458381E"/>
    <w:rsid w:val="245872F9"/>
    <w:rsid w:val="245943D9"/>
    <w:rsid w:val="245E6B64"/>
    <w:rsid w:val="2463385E"/>
    <w:rsid w:val="24790BCB"/>
    <w:rsid w:val="247C27F7"/>
    <w:rsid w:val="248B0DC8"/>
    <w:rsid w:val="24967323"/>
    <w:rsid w:val="24980FD0"/>
    <w:rsid w:val="249817D6"/>
    <w:rsid w:val="249A5F5E"/>
    <w:rsid w:val="249D5FC8"/>
    <w:rsid w:val="24A1538E"/>
    <w:rsid w:val="24A83667"/>
    <w:rsid w:val="24A97CCD"/>
    <w:rsid w:val="24AD67F4"/>
    <w:rsid w:val="24B9450F"/>
    <w:rsid w:val="24C83F94"/>
    <w:rsid w:val="24DE3A8A"/>
    <w:rsid w:val="24E7219B"/>
    <w:rsid w:val="24F60CDA"/>
    <w:rsid w:val="24FC5D1A"/>
    <w:rsid w:val="24FE42EB"/>
    <w:rsid w:val="24FE7E17"/>
    <w:rsid w:val="25040446"/>
    <w:rsid w:val="25081E33"/>
    <w:rsid w:val="250D450C"/>
    <w:rsid w:val="25134332"/>
    <w:rsid w:val="25141A5B"/>
    <w:rsid w:val="251D6943"/>
    <w:rsid w:val="2521546A"/>
    <w:rsid w:val="252242ED"/>
    <w:rsid w:val="2524677D"/>
    <w:rsid w:val="252470AC"/>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65F86"/>
    <w:rsid w:val="25CF0252"/>
    <w:rsid w:val="25D0248E"/>
    <w:rsid w:val="25D61C5C"/>
    <w:rsid w:val="25EE28A7"/>
    <w:rsid w:val="25F767DC"/>
    <w:rsid w:val="25F81D70"/>
    <w:rsid w:val="25FB5636"/>
    <w:rsid w:val="25FE58A9"/>
    <w:rsid w:val="26047AC4"/>
    <w:rsid w:val="26070462"/>
    <w:rsid w:val="260D2C45"/>
    <w:rsid w:val="2628058D"/>
    <w:rsid w:val="2628719C"/>
    <w:rsid w:val="26395C92"/>
    <w:rsid w:val="263F660E"/>
    <w:rsid w:val="26465DA0"/>
    <w:rsid w:val="26497858"/>
    <w:rsid w:val="264C485B"/>
    <w:rsid w:val="265A5249"/>
    <w:rsid w:val="266237C3"/>
    <w:rsid w:val="266749F2"/>
    <w:rsid w:val="266805A0"/>
    <w:rsid w:val="267550B9"/>
    <w:rsid w:val="268A7650"/>
    <w:rsid w:val="26985A9C"/>
    <w:rsid w:val="269A412D"/>
    <w:rsid w:val="269C0A66"/>
    <w:rsid w:val="269D319F"/>
    <w:rsid w:val="26A167B6"/>
    <w:rsid w:val="26B06894"/>
    <w:rsid w:val="26B431AD"/>
    <w:rsid w:val="26B654CA"/>
    <w:rsid w:val="26BC4981"/>
    <w:rsid w:val="26C472EC"/>
    <w:rsid w:val="26CB2240"/>
    <w:rsid w:val="26E11BA3"/>
    <w:rsid w:val="26E25459"/>
    <w:rsid w:val="26E71F5E"/>
    <w:rsid w:val="26EA2865"/>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15BDB"/>
    <w:rsid w:val="27C57B2B"/>
    <w:rsid w:val="27C8029E"/>
    <w:rsid w:val="27CC78AC"/>
    <w:rsid w:val="27D72FE7"/>
    <w:rsid w:val="27D86029"/>
    <w:rsid w:val="27DC10DD"/>
    <w:rsid w:val="27DD45ED"/>
    <w:rsid w:val="27E069FC"/>
    <w:rsid w:val="27E35AAE"/>
    <w:rsid w:val="27E3651B"/>
    <w:rsid w:val="27E53E2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5D37B2"/>
    <w:rsid w:val="28683649"/>
    <w:rsid w:val="28696098"/>
    <w:rsid w:val="286E74F1"/>
    <w:rsid w:val="28760CA0"/>
    <w:rsid w:val="28796ED0"/>
    <w:rsid w:val="287B218C"/>
    <w:rsid w:val="2886016A"/>
    <w:rsid w:val="288A05DD"/>
    <w:rsid w:val="28913C37"/>
    <w:rsid w:val="28937D89"/>
    <w:rsid w:val="289B0550"/>
    <w:rsid w:val="28A810B1"/>
    <w:rsid w:val="28AA06A2"/>
    <w:rsid w:val="28B85DD1"/>
    <w:rsid w:val="28BE71CB"/>
    <w:rsid w:val="28C8220B"/>
    <w:rsid w:val="28C96C14"/>
    <w:rsid w:val="28CA6143"/>
    <w:rsid w:val="28CA7CD7"/>
    <w:rsid w:val="28CD627E"/>
    <w:rsid w:val="28CE0367"/>
    <w:rsid w:val="28D04F68"/>
    <w:rsid w:val="28E138E3"/>
    <w:rsid w:val="28E74216"/>
    <w:rsid w:val="28E87EE4"/>
    <w:rsid w:val="2903396A"/>
    <w:rsid w:val="29087976"/>
    <w:rsid w:val="290B654D"/>
    <w:rsid w:val="29124309"/>
    <w:rsid w:val="2921752E"/>
    <w:rsid w:val="293A3D33"/>
    <w:rsid w:val="293F40E3"/>
    <w:rsid w:val="294E766A"/>
    <w:rsid w:val="29513848"/>
    <w:rsid w:val="295B325B"/>
    <w:rsid w:val="296B203C"/>
    <w:rsid w:val="296B483C"/>
    <w:rsid w:val="29707226"/>
    <w:rsid w:val="297161D3"/>
    <w:rsid w:val="297510B4"/>
    <w:rsid w:val="2978319A"/>
    <w:rsid w:val="297A0B7E"/>
    <w:rsid w:val="29886D49"/>
    <w:rsid w:val="29897A2F"/>
    <w:rsid w:val="29951C91"/>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87282"/>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6757A"/>
    <w:rsid w:val="2A6A6FA4"/>
    <w:rsid w:val="2A6E31F8"/>
    <w:rsid w:val="2A704730"/>
    <w:rsid w:val="2A836D08"/>
    <w:rsid w:val="2A87174E"/>
    <w:rsid w:val="2A893CCF"/>
    <w:rsid w:val="2A8A2F9C"/>
    <w:rsid w:val="2AAC5A06"/>
    <w:rsid w:val="2AB00ECC"/>
    <w:rsid w:val="2ABB3D6F"/>
    <w:rsid w:val="2AC25434"/>
    <w:rsid w:val="2AC70B30"/>
    <w:rsid w:val="2ACC2AAF"/>
    <w:rsid w:val="2AD56653"/>
    <w:rsid w:val="2AD74744"/>
    <w:rsid w:val="2AD91AC2"/>
    <w:rsid w:val="2AD96951"/>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7F69EB"/>
    <w:rsid w:val="2B853AF3"/>
    <w:rsid w:val="2B8B422C"/>
    <w:rsid w:val="2B9C5243"/>
    <w:rsid w:val="2BA07D38"/>
    <w:rsid w:val="2BAC692A"/>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2D6D7E"/>
    <w:rsid w:val="2C3A7BF6"/>
    <w:rsid w:val="2C3B545F"/>
    <w:rsid w:val="2C425BCE"/>
    <w:rsid w:val="2C426CF6"/>
    <w:rsid w:val="2C44676A"/>
    <w:rsid w:val="2C485295"/>
    <w:rsid w:val="2C495C38"/>
    <w:rsid w:val="2C4A080C"/>
    <w:rsid w:val="2C54533B"/>
    <w:rsid w:val="2C591378"/>
    <w:rsid w:val="2C5D6F47"/>
    <w:rsid w:val="2C64684A"/>
    <w:rsid w:val="2C677A31"/>
    <w:rsid w:val="2C7004FB"/>
    <w:rsid w:val="2C760745"/>
    <w:rsid w:val="2C770676"/>
    <w:rsid w:val="2C797A76"/>
    <w:rsid w:val="2C8F4862"/>
    <w:rsid w:val="2C9E5AC8"/>
    <w:rsid w:val="2CA2721B"/>
    <w:rsid w:val="2CAC6D87"/>
    <w:rsid w:val="2CAE3123"/>
    <w:rsid w:val="2CB600FC"/>
    <w:rsid w:val="2CD61452"/>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4331C7"/>
    <w:rsid w:val="2D5436FA"/>
    <w:rsid w:val="2D62469E"/>
    <w:rsid w:val="2D63208F"/>
    <w:rsid w:val="2D690FFD"/>
    <w:rsid w:val="2D6B40A9"/>
    <w:rsid w:val="2D6C155B"/>
    <w:rsid w:val="2D6D2DA6"/>
    <w:rsid w:val="2D707235"/>
    <w:rsid w:val="2D733729"/>
    <w:rsid w:val="2D8A3FA2"/>
    <w:rsid w:val="2D921BED"/>
    <w:rsid w:val="2D94006F"/>
    <w:rsid w:val="2D9767DC"/>
    <w:rsid w:val="2D980DDC"/>
    <w:rsid w:val="2D983122"/>
    <w:rsid w:val="2D987372"/>
    <w:rsid w:val="2D9B18FB"/>
    <w:rsid w:val="2DA23D5C"/>
    <w:rsid w:val="2DA40523"/>
    <w:rsid w:val="2DAC3955"/>
    <w:rsid w:val="2DB872E3"/>
    <w:rsid w:val="2DC66A91"/>
    <w:rsid w:val="2DC92AA1"/>
    <w:rsid w:val="2DCE5F69"/>
    <w:rsid w:val="2DDD4F0A"/>
    <w:rsid w:val="2DF829F8"/>
    <w:rsid w:val="2E063012"/>
    <w:rsid w:val="2E0802E2"/>
    <w:rsid w:val="2E141EF5"/>
    <w:rsid w:val="2E1F0CF7"/>
    <w:rsid w:val="2E200339"/>
    <w:rsid w:val="2E202672"/>
    <w:rsid w:val="2E3118D8"/>
    <w:rsid w:val="2E34792A"/>
    <w:rsid w:val="2E437E73"/>
    <w:rsid w:val="2E484C58"/>
    <w:rsid w:val="2E4A27C1"/>
    <w:rsid w:val="2E5034DC"/>
    <w:rsid w:val="2E52354F"/>
    <w:rsid w:val="2E572AB9"/>
    <w:rsid w:val="2E5B65F8"/>
    <w:rsid w:val="2E7057C3"/>
    <w:rsid w:val="2E7258DC"/>
    <w:rsid w:val="2E79458E"/>
    <w:rsid w:val="2E797A78"/>
    <w:rsid w:val="2E7C6A94"/>
    <w:rsid w:val="2E8321A5"/>
    <w:rsid w:val="2E8438E1"/>
    <w:rsid w:val="2E8945B3"/>
    <w:rsid w:val="2E8D14A8"/>
    <w:rsid w:val="2E9B7377"/>
    <w:rsid w:val="2E9F6D95"/>
    <w:rsid w:val="2EAA33F6"/>
    <w:rsid w:val="2EAE350B"/>
    <w:rsid w:val="2EB16AB5"/>
    <w:rsid w:val="2EB20A6C"/>
    <w:rsid w:val="2EBC2287"/>
    <w:rsid w:val="2EBF350E"/>
    <w:rsid w:val="2EC255A6"/>
    <w:rsid w:val="2EC85A63"/>
    <w:rsid w:val="2ECA3116"/>
    <w:rsid w:val="2ECC549E"/>
    <w:rsid w:val="2ED53442"/>
    <w:rsid w:val="2EDD7896"/>
    <w:rsid w:val="2EEA6E65"/>
    <w:rsid w:val="2EF31F38"/>
    <w:rsid w:val="2EF33C7C"/>
    <w:rsid w:val="2EF66AA8"/>
    <w:rsid w:val="2F00052B"/>
    <w:rsid w:val="2F0367CD"/>
    <w:rsid w:val="2F0B683E"/>
    <w:rsid w:val="2F0E4A59"/>
    <w:rsid w:val="2F1251F2"/>
    <w:rsid w:val="2F134662"/>
    <w:rsid w:val="2F1B08DB"/>
    <w:rsid w:val="2F1E125B"/>
    <w:rsid w:val="2F2D445E"/>
    <w:rsid w:val="2F3F30B1"/>
    <w:rsid w:val="2F4F6FBB"/>
    <w:rsid w:val="2F664E2B"/>
    <w:rsid w:val="2F665FA7"/>
    <w:rsid w:val="2F6C7BE3"/>
    <w:rsid w:val="2F6E3A80"/>
    <w:rsid w:val="2F715580"/>
    <w:rsid w:val="2F7470F0"/>
    <w:rsid w:val="2F783485"/>
    <w:rsid w:val="2F7F5C0B"/>
    <w:rsid w:val="2FA6492D"/>
    <w:rsid w:val="2FBC5BA2"/>
    <w:rsid w:val="2FC86676"/>
    <w:rsid w:val="2FCD209C"/>
    <w:rsid w:val="2FCE35FC"/>
    <w:rsid w:val="2FD150ED"/>
    <w:rsid w:val="2FD17A1B"/>
    <w:rsid w:val="2FD71CA4"/>
    <w:rsid w:val="2FDA1416"/>
    <w:rsid w:val="2FDC4A8D"/>
    <w:rsid w:val="2FDE43D5"/>
    <w:rsid w:val="2FE6180E"/>
    <w:rsid w:val="2FE73901"/>
    <w:rsid w:val="2FEE50B1"/>
    <w:rsid w:val="2FF81447"/>
    <w:rsid w:val="2FF93066"/>
    <w:rsid w:val="300D4197"/>
    <w:rsid w:val="301A71CE"/>
    <w:rsid w:val="301C3E88"/>
    <w:rsid w:val="301E049B"/>
    <w:rsid w:val="30291460"/>
    <w:rsid w:val="302A4BE6"/>
    <w:rsid w:val="303C7735"/>
    <w:rsid w:val="304117E8"/>
    <w:rsid w:val="304478EC"/>
    <w:rsid w:val="30515C8E"/>
    <w:rsid w:val="30517245"/>
    <w:rsid w:val="305F1920"/>
    <w:rsid w:val="305F776C"/>
    <w:rsid w:val="306C64E5"/>
    <w:rsid w:val="3091013E"/>
    <w:rsid w:val="30926F91"/>
    <w:rsid w:val="309440A1"/>
    <w:rsid w:val="30962F3E"/>
    <w:rsid w:val="30AA2585"/>
    <w:rsid w:val="30B03DC4"/>
    <w:rsid w:val="30C16A19"/>
    <w:rsid w:val="30CB379B"/>
    <w:rsid w:val="30CB5800"/>
    <w:rsid w:val="30D32236"/>
    <w:rsid w:val="30EC5919"/>
    <w:rsid w:val="30ED0AB9"/>
    <w:rsid w:val="30F92FE5"/>
    <w:rsid w:val="30FA7530"/>
    <w:rsid w:val="30FF2795"/>
    <w:rsid w:val="310225AA"/>
    <w:rsid w:val="310375CD"/>
    <w:rsid w:val="310B0487"/>
    <w:rsid w:val="310C2A6C"/>
    <w:rsid w:val="310E6387"/>
    <w:rsid w:val="311611B3"/>
    <w:rsid w:val="311A6C35"/>
    <w:rsid w:val="31333AA3"/>
    <w:rsid w:val="313A114A"/>
    <w:rsid w:val="313C313D"/>
    <w:rsid w:val="313E787A"/>
    <w:rsid w:val="313F6DC6"/>
    <w:rsid w:val="314E236F"/>
    <w:rsid w:val="315E0B07"/>
    <w:rsid w:val="31601370"/>
    <w:rsid w:val="31604BDE"/>
    <w:rsid w:val="316065B7"/>
    <w:rsid w:val="31610AB1"/>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74521"/>
    <w:rsid w:val="322E1E58"/>
    <w:rsid w:val="3235187E"/>
    <w:rsid w:val="3237186B"/>
    <w:rsid w:val="323B6798"/>
    <w:rsid w:val="32470AEB"/>
    <w:rsid w:val="32537B57"/>
    <w:rsid w:val="325779E7"/>
    <w:rsid w:val="325B1D9C"/>
    <w:rsid w:val="325F618E"/>
    <w:rsid w:val="32612DA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277E81"/>
    <w:rsid w:val="33304A5C"/>
    <w:rsid w:val="334037E5"/>
    <w:rsid w:val="33404DED"/>
    <w:rsid w:val="334B2535"/>
    <w:rsid w:val="33540E5D"/>
    <w:rsid w:val="33555C7A"/>
    <w:rsid w:val="33575633"/>
    <w:rsid w:val="33587D60"/>
    <w:rsid w:val="335A0521"/>
    <w:rsid w:val="335E7B11"/>
    <w:rsid w:val="336032E8"/>
    <w:rsid w:val="336227D5"/>
    <w:rsid w:val="3364318B"/>
    <w:rsid w:val="336514A2"/>
    <w:rsid w:val="33691888"/>
    <w:rsid w:val="336A499A"/>
    <w:rsid w:val="336F3D1A"/>
    <w:rsid w:val="33714830"/>
    <w:rsid w:val="33737F51"/>
    <w:rsid w:val="33764F61"/>
    <w:rsid w:val="337964FF"/>
    <w:rsid w:val="337D34FB"/>
    <w:rsid w:val="337D5066"/>
    <w:rsid w:val="337E2DAF"/>
    <w:rsid w:val="33953C2E"/>
    <w:rsid w:val="339D6884"/>
    <w:rsid w:val="33A47053"/>
    <w:rsid w:val="33A5256D"/>
    <w:rsid w:val="33BF2720"/>
    <w:rsid w:val="33BF4199"/>
    <w:rsid w:val="33C17F75"/>
    <w:rsid w:val="33C259F7"/>
    <w:rsid w:val="33C47354"/>
    <w:rsid w:val="33CC78B4"/>
    <w:rsid w:val="33CD6498"/>
    <w:rsid w:val="33D52499"/>
    <w:rsid w:val="33D7554F"/>
    <w:rsid w:val="33ED2B2C"/>
    <w:rsid w:val="33EF540C"/>
    <w:rsid w:val="33FB4AD5"/>
    <w:rsid w:val="33FE62E7"/>
    <w:rsid w:val="34013725"/>
    <w:rsid w:val="34080399"/>
    <w:rsid w:val="340D25F6"/>
    <w:rsid w:val="341E0A7E"/>
    <w:rsid w:val="34216BA7"/>
    <w:rsid w:val="3429226D"/>
    <w:rsid w:val="342B76C7"/>
    <w:rsid w:val="34341A95"/>
    <w:rsid w:val="343A1527"/>
    <w:rsid w:val="34447898"/>
    <w:rsid w:val="344E62FA"/>
    <w:rsid w:val="346B17CE"/>
    <w:rsid w:val="346F3FB3"/>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7555A"/>
    <w:rsid w:val="34E960F1"/>
    <w:rsid w:val="34F34951"/>
    <w:rsid w:val="34FD3BA4"/>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B3D92"/>
    <w:rsid w:val="357E4B0A"/>
    <w:rsid w:val="35807F17"/>
    <w:rsid w:val="35866D7F"/>
    <w:rsid w:val="35897ADA"/>
    <w:rsid w:val="358F6BDF"/>
    <w:rsid w:val="35A05073"/>
    <w:rsid w:val="35A65234"/>
    <w:rsid w:val="35C06D50"/>
    <w:rsid w:val="35CA3D9E"/>
    <w:rsid w:val="35CD6F14"/>
    <w:rsid w:val="35D102FE"/>
    <w:rsid w:val="35D24294"/>
    <w:rsid w:val="35D71152"/>
    <w:rsid w:val="35D963E6"/>
    <w:rsid w:val="35DC736B"/>
    <w:rsid w:val="35ED4C4F"/>
    <w:rsid w:val="35F13CA9"/>
    <w:rsid w:val="35F23B39"/>
    <w:rsid w:val="35FF6F3C"/>
    <w:rsid w:val="36075F27"/>
    <w:rsid w:val="36121506"/>
    <w:rsid w:val="36184CAB"/>
    <w:rsid w:val="361A62E3"/>
    <w:rsid w:val="361D621A"/>
    <w:rsid w:val="361D7A43"/>
    <w:rsid w:val="361F3323"/>
    <w:rsid w:val="36241E4D"/>
    <w:rsid w:val="36242239"/>
    <w:rsid w:val="363363E5"/>
    <w:rsid w:val="363B4A32"/>
    <w:rsid w:val="36402EFA"/>
    <w:rsid w:val="36432BB5"/>
    <w:rsid w:val="36496A51"/>
    <w:rsid w:val="365623F6"/>
    <w:rsid w:val="36604EA9"/>
    <w:rsid w:val="36816994"/>
    <w:rsid w:val="36820DFD"/>
    <w:rsid w:val="368230C6"/>
    <w:rsid w:val="36831B61"/>
    <w:rsid w:val="36843A03"/>
    <w:rsid w:val="368715BB"/>
    <w:rsid w:val="368E7248"/>
    <w:rsid w:val="368F7E4F"/>
    <w:rsid w:val="36985297"/>
    <w:rsid w:val="3699519F"/>
    <w:rsid w:val="369F633B"/>
    <w:rsid w:val="36A30FDB"/>
    <w:rsid w:val="36A7007C"/>
    <w:rsid w:val="36B24AE8"/>
    <w:rsid w:val="36B754A5"/>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428EB"/>
    <w:rsid w:val="37173233"/>
    <w:rsid w:val="371C344E"/>
    <w:rsid w:val="371D31FA"/>
    <w:rsid w:val="37202311"/>
    <w:rsid w:val="37226558"/>
    <w:rsid w:val="3734159D"/>
    <w:rsid w:val="37382526"/>
    <w:rsid w:val="373B4C89"/>
    <w:rsid w:val="373E1462"/>
    <w:rsid w:val="373F4A34"/>
    <w:rsid w:val="37503E6C"/>
    <w:rsid w:val="3758590A"/>
    <w:rsid w:val="375A785C"/>
    <w:rsid w:val="375E77B2"/>
    <w:rsid w:val="37602E60"/>
    <w:rsid w:val="378229A7"/>
    <w:rsid w:val="3784394E"/>
    <w:rsid w:val="37856510"/>
    <w:rsid w:val="37873940"/>
    <w:rsid w:val="378E7BEC"/>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146CB"/>
    <w:rsid w:val="37E76E34"/>
    <w:rsid w:val="37FE02EA"/>
    <w:rsid w:val="38007B93"/>
    <w:rsid w:val="3802360F"/>
    <w:rsid w:val="38083B97"/>
    <w:rsid w:val="380D02B1"/>
    <w:rsid w:val="380F1889"/>
    <w:rsid w:val="38137C9C"/>
    <w:rsid w:val="38144AE5"/>
    <w:rsid w:val="381F4DE1"/>
    <w:rsid w:val="3821593A"/>
    <w:rsid w:val="382B1BDF"/>
    <w:rsid w:val="382E392C"/>
    <w:rsid w:val="38342E90"/>
    <w:rsid w:val="384A3313"/>
    <w:rsid w:val="384B7332"/>
    <w:rsid w:val="385056AF"/>
    <w:rsid w:val="38505C1D"/>
    <w:rsid w:val="38571C7D"/>
    <w:rsid w:val="38593C76"/>
    <w:rsid w:val="385F5F3A"/>
    <w:rsid w:val="386A7142"/>
    <w:rsid w:val="38706DCB"/>
    <w:rsid w:val="38784056"/>
    <w:rsid w:val="38885FCC"/>
    <w:rsid w:val="388E5848"/>
    <w:rsid w:val="3896426D"/>
    <w:rsid w:val="38A058F5"/>
    <w:rsid w:val="38A341A7"/>
    <w:rsid w:val="38A75C0A"/>
    <w:rsid w:val="38B624DA"/>
    <w:rsid w:val="38BD31EE"/>
    <w:rsid w:val="38CB3BDF"/>
    <w:rsid w:val="38CF136F"/>
    <w:rsid w:val="38D33D29"/>
    <w:rsid w:val="38D41CCF"/>
    <w:rsid w:val="38D808BC"/>
    <w:rsid w:val="38E40A5B"/>
    <w:rsid w:val="38E45923"/>
    <w:rsid w:val="38F16A28"/>
    <w:rsid w:val="38FA10A5"/>
    <w:rsid w:val="390A2E6E"/>
    <w:rsid w:val="390E7299"/>
    <w:rsid w:val="391A1130"/>
    <w:rsid w:val="391A3359"/>
    <w:rsid w:val="39243950"/>
    <w:rsid w:val="39285D57"/>
    <w:rsid w:val="39305263"/>
    <w:rsid w:val="394303B9"/>
    <w:rsid w:val="394915ED"/>
    <w:rsid w:val="394B6470"/>
    <w:rsid w:val="394C0039"/>
    <w:rsid w:val="39535398"/>
    <w:rsid w:val="395B1104"/>
    <w:rsid w:val="395C6EA8"/>
    <w:rsid w:val="39660A83"/>
    <w:rsid w:val="39747EC7"/>
    <w:rsid w:val="39752A0F"/>
    <w:rsid w:val="39872512"/>
    <w:rsid w:val="39A602F9"/>
    <w:rsid w:val="39BD45C8"/>
    <w:rsid w:val="39C1574C"/>
    <w:rsid w:val="39C2316A"/>
    <w:rsid w:val="39C3320C"/>
    <w:rsid w:val="39C464AE"/>
    <w:rsid w:val="39CE553A"/>
    <w:rsid w:val="39D733F3"/>
    <w:rsid w:val="39D87563"/>
    <w:rsid w:val="39E8110F"/>
    <w:rsid w:val="39F36281"/>
    <w:rsid w:val="39F81192"/>
    <w:rsid w:val="39FD376D"/>
    <w:rsid w:val="39FD6C9C"/>
    <w:rsid w:val="3A0224B9"/>
    <w:rsid w:val="3A0C7C0E"/>
    <w:rsid w:val="3A0E470C"/>
    <w:rsid w:val="3A16728B"/>
    <w:rsid w:val="3A16794C"/>
    <w:rsid w:val="3A1F6809"/>
    <w:rsid w:val="3A226969"/>
    <w:rsid w:val="3A286675"/>
    <w:rsid w:val="3A3A4AD6"/>
    <w:rsid w:val="3A3F47CE"/>
    <w:rsid w:val="3A4E1C5D"/>
    <w:rsid w:val="3A523735"/>
    <w:rsid w:val="3A557AE4"/>
    <w:rsid w:val="3A5F0BE3"/>
    <w:rsid w:val="3A613D40"/>
    <w:rsid w:val="3A6B0F84"/>
    <w:rsid w:val="3A6B3360"/>
    <w:rsid w:val="3A727435"/>
    <w:rsid w:val="3A813EA6"/>
    <w:rsid w:val="3A82130D"/>
    <w:rsid w:val="3A871F12"/>
    <w:rsid w:val="3A912821"/>
    <w:rsid w:val="3A94055A"/>
    <w:rsid w:val="3A940A08"/>
    <w:rsid w:val="3AB00167"/>
    <w:rsid w:val="3AB40637"/>
    <w:rsid w:val="3AB677C2"/>
    <w:rsid w:val="3ABC496A"/>
    <w:rsid w:val="3AC17E3A"/>
    <w:rsid w:val="3AC4083B"/>
    <w:rsid w:val="3AC72CF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D002B"/>
    <w:rsid w:val="3BCE3AFC"/>
    <w:rsid w:val="3BD96AA6"/>
    <w:rsid w:val="3BDB182F"/>
    <w:rsid w:val="3BE46547"/>
    <w:rsid w:val="3BED002E"/>
    <w:rsid w:val="3C000A6C"/>
    <w:rsid w:val="3C012D01"/>
    <w:rsid w:val="3C0429BF"/>
    <w:rsid w:val="3C1A201A"/>
    <w:rsid w:val="3C204D27"/>
    <w:rsid w:val="3C276807"/>
    <w:rsid w:val="3C371D4B"/>
    <w:rsid w:val="3C3865F6"/>
    <w:rsid w:val="3C3B4B9D"/>
    <w:rsid w:val="3C3D0ABF"/>
    <w:rsid w:val="3C3E4F02"/>
    <w:rsid w:val="3C3F1417"/>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1CB0"/>
    <w:rsid w:val="3CA734F8"/>
    <w:rsid w:val="3CA95F71"/>
    <w:rsid w:val="3CAD771B"/>
    <w:rsid w:val="3CC16893"/>
    <w:rsid w:val="3CC72A42"/>
    <w:rsid w:val="3CC74223"/>
    <w:rsid w:val="3CC769FD"/>
    <w:rsid w:val="3CC828D0"/>
    <w:rsid w:val="3CD50970"/>
    <w:rsid w:val="3CDB5F96"/>
    <w:rsid w:val="3CE23F49"/>
    <w:rsid w:val="3CE242F0"/>
    <w:rsid w:val="3CE34050"/>
    <w:rsid w:val="3CE47078"/>
    <w:rsid w:val="3CE74670"/>
    <w:rsid w:val="3CEC39B8"/>
    <w:rsid w:val="3CF720E3"/>
    <w:rsid w:val="3CF72D6A"/>
    <w:rsid w:val="3CF86D06"/>
    <w:rsid w:val="3D00620E"/>
    <w:rsid w:val="3D035226"/>
    <w:rsid w:val="3D0C2638"/>
    <w:rsid w:val="3D1177DE"/>
    <w:rsid w:val="3D316CDB"/>
    <w:rsid w:val="3D3920B3"/>
    <w:rsid w:val="3D3D6BBD"/>
    <w:rsid w:val="3D3E2127"/>
    <w:rsid w:val="3D43773B"/>
    <w:rsid w:val="3D450F8C"/>
    <w:rsid w:val="3D477118"/>
    <w:rsid w:val="3D487517"/>
    <w:rsid w:val="3D4D7FD5"/>
    <w:rsid w:val="3D570828"/>
    <w:rsid w:val="3D594E54"/>
    <w:rsid w:val="3D595C4A"/>
    <w:rsid w:val="3D62706F"/>
    <w:rsid w:val="3D6E2272"/>
    <w:rsid w:val="3D755D9D"/>
    <w:rsid w:val="3D7761CF"/>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B3AAC"/>
    <w:rsid w:val="3E1D4B24"/>
    <w:rsid w:val="3E2B1325"/>
    <w:rsid w:val="3E2B1E9E"/>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13109"/>
    <w:rsid w:val="3E8227F0"/>
    <w:rsid w:val="3E8316FA"/>
    <w:rsid w:val="3E876237"/>
    <w:rsid w:val="3E900915"/>
    <w:rsid w:val="3E9055C8"/>
    <w:rsid w:val="3E937F82"/>
    <w:rsid w:val="3E9A1443"/>
    <w:rsid w:val="3E9B4B40"/>
    <w:rsid w:val="3EA53AF8"/>
    <w:rsid w:val="3EB0220E"/>
    <w:rsid w:val="3EB709F3"/>
    <w:rsid w:val="3EB71AC8"/>
    <w:rsid w:val="3EB81A6D"/>
    <w:rsid w:val="3EB93EF6"/>
    <w:rsid w:val="3EBB29A2"/>
    <w:rsid w:val="3EC71336"/>
    <w:rsid w:val="3EC85E34"/>
    <w:rsid w:val="3ECD2EE4"/>
    <w:rsid w:val="3ECF2AAC"/>
    <w:rsid w:val="3ED0424C"/>
    <w:rsid w:val="3ED07B7E"/>
    <w:rsid w:val="3ED16FB1"/>
    <w:rsid w:val="3ED425B7"/>
    <w:rsid w:val="3ED60148"/>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16E6D"/>
    <w:rsid w:val="3F9335C1"/>
    <w:rsid w:val="3F9660C3"/>
    <w:rsid w:val="3F9724DD"/>
    <w:rsid w:val="3FA827ED"/>
    <w:rsid w:val="3FB45C58"/>
    <w:rsid w:val="3FB97AA8"/>
    <w:rsid w:val="3FC04CDF"/>
    <w:rsid w:val="3FC36557"/>
    <w:rsid w:val="3FC956FF"/>
    <w:rsid w:val="3FCA4020"/>
    <w:rsid w:val="3FCA68B7"/>
    <w:rsid w:val="3FCB5E99"/>
    <w:rsid w:val="3FCD72C4"/>
    <w:rsid w:val="3FD13F50"/>
    <w:rsid w:val="3FD858EB"/>
    <w:rsid w:val="3FDC5F31"/>
    <w:rsid w:val="3FE04625"/>
    <w:rsid w:val="3FE86CE8"/>
    <w:rsid w:val="3FF82684"/>
    <w:rsid w:val="3FFB0F66"/>
    <w:rsid w:val="400F1410"/>
    <w:rsid w:val="40146E6B"/>
    <w:rsid w:val="401D167F"/>
    <w:rsid w:val="402C6E5E"/>
    <w:rsid w:val="402D4C90"/>
    <w:rsid w:val="402E0EC4"/>
    <w:rsid w:val="403052F1"/>
    <w:rsid w:val="40311CF5"/>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71B45"/>
    <w:rsid w:val="40EC7D18"/>
    <w:rsid w:val="40ED11A0"/>
    <w:rsid w:val="40FA7F84"/>
    <w:rsid w:val="40FD1BF0"/>
    <w:rsid w:val="41096BC0"/>
    <w:rsid w:val="410A75B6"/>
    <w:rsid w:val="410B452A"/>
    <w:rsid w:val="41122DD0"/>
    <w:rsid w:val="411251DD"/>
    <w:rsid w:val="41134446"/>
    <w:rsid w:val="41146D26"/>
    <w:rsid w:val="411D1161"/>
    <w:rsid w:val="412B3789"/>
    <w:rsid w:val="41334FB7"/>
    <w:rsid w:val="413353F1"/>
    <w:rsid w:val="413735AC"/>
    <w:rsid w:val="4137558E"/>
    <w:rsid w:val="413A2C90"/>
    <w:rsid w:val="41430757"/>
    <w:rsid w:val="4146047F"/>
    <w:rsid w:val="41513BC9"/>
    <w:rsid w:val="415868F4"/>
    <w:rsid w:val="415C66C8"/>
    <w:rsid w:val="416B4DCF"/>
    <w:rsid w:val="416C40CA"/>
    <w:rsid w:val="41735B7F"/>
    <w:rsid w:val="417D6B05"/>
    <w:rsid w:val="41810E86"/>
    <w:rsid w:val="41850830"/>
    <w:rsid w:val="4185372F"/>
    <w:rsid w:val="41942514"/>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942DC"/>
    <w:rsid w:val="420D197F"/>
    <w:rsid w:val="42127B33"/>
    <w:rsid w:val="4215325F"/>
    <w:rsid w:val="4215519C"/>
    <w:rsid w:val="42187EBE"/>
    <w:rsid w:val="42192629"/>
    <w:rsid w:val="421B5C19"/>
    <w:rsid w:val="42273D8C"/>
    <w:rsid w:val="4227435A"/>
    <w:rsid w:val="4230634F"/>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925A3"/>
    <w:rsid w:val="42AA5DEB"/>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8190D"/>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2B2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359C9"/>
    <w:rsid w:val="44C6421F"/>
    <w:rsid w:val="44CC46BA"/>
    <w:rsid w:val="44DC46EB"/>
    <w:rsid w:val="44DF1B8D"/>
    <w:rsid w:val="44E61786"/>
    <w:rsid w:val="44E66F99"/>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26A3F"/>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D27C7"/>
    <w:rsid w:val="45BE6191"/>
    <w:rsid w:val="45BE648C"/>
    <w:rsid w:val="45C661BC"/>
    <w:rsid w:val="45C86F8A"/>
    <w:rsid w:val="45CA082F"/>
    <w:rsid w:val="45CA7D75"/>
    <w:rsid w:val="45CD2126"/>
    <w:rsid w:val="45CD75F1"/>
    <w:rsid w:val="45D2713B"/>
    <w:rsid w:val="45DD738A"/>
    <w:rsid w:val="45DF61DC"/>
    <w:rsid w:val="45E372CD"/>
    <w:rsid w:val="45ED64C7"/>
    <w:rsid w:val="45F72398"/>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17953"/>
    <w:rsid w:val="46555DC3"/>
    <w:rsid w:val="46560D65"/>
    <w:rsid w:val="465901BC"/>
    <w:rsid w:val="46617DB2"/>
    <w:rsid w:val="46621065"/>
    <w:rsid w:val="46665198"/>
    <w:rsid w:val="46697236"/>
    <w:rsid w:val="46770F8B"/>
    <w:rsid w:val="467C16FA"/>
    <w:rsid w:val="467C28B2"/>
    <w:rsid w:val="46831AE2"/>
    <w:rsid w:val="46894B18"/>
    <w:rsid w:val="46907E1E"/>
    <w:rsid w:val="469448C6"/>
    <w:rsid w:val="46953B12"/>
    <w:rsid w:val="469965DF"/>
    <w:rsid w:val="469A1E62"/>
    <w:rsid w:val="46A317DF"/>
    <w:rsid w:val="46A95479"/>
    <w:rsid w:val="46AB0067"/>
    <w:rsid w:val="46AD4E32"/>
    <w:rsid w:val="46B80AF8"/>
    <w:rsid w:val="46BA0199"/>
    <w:rsid w:val="46D37F0B"/>
    <w:rsid w:val="46D71533"/>
    <w:rsid w:val="46E53335"/>
    <w:rsid w:val="46ED5319"/>
    <w:rsid w:val="46FF5C70"/>
    <w:rsid w:val="47155D89"/>
    <w:rsid w:val="47301142"/>
    <w:rsid w:val="473069AF"/>
    <w:rsid w:val="473E4AD0"/>
    <w:rsid w:val="474A0EAF"/>
    <w:rsid w:val="474E50BE"/>
    <w:rsid w:val="47502F40"/>
    <w:rsid w:val="4766041A"/>
    <w:rsid w:val="47690F71"/>
    <w:rsid w:val="47696F9C"/>
    <w:rsid w:val="47714F1F"/>
    <w:rsid w:val="47725A17"/>
    <w:rsid w:val="47770512"/>
    <w:rsid w:val="477914D1"/>
    <w:rsid w:val="477D3243"/>
    <w:rsid w:val="477F6C5D"/>
    <w:rsid w:val="478224BC"/>
    <w:rsid w:val="478821A1"/>
    <w:rsid w:val="479128A9"/>
    <w:rsid w:val="47961E9D"/>
    <w:rsid w:val="47975EDC"/>
    <w:rsid w:val="47983B19"/>
    <w:rsid w:val="47A3609D"/>
    <w:rsid w:val="47B337EE"/>
    <w:rsid w:val="47B52288"/>
    <w:rsid w:val="47C01792"/>
    <w:rsid w:val="47C57A48"/>
    <w:rsid w:val="47C84552"/>
    <w:rsid w:val="47D511BD"/>
    <w:rsid w:val="47D94826"/>
    <w:rsid w:val="47DB65F6"/>
    <w:rsid w:val="47DD11F5"/>
    <w:rsid w:val="47DF7408"/>
    <w:rsid w:val="47ED307F"/>
    <w:rsid w:val="48020DE8"/>
    <w:rsid w:val="4808150F"/>
    <w:rsid w:val="480F51A8"/>
    <w:rsid w:val="48241969"/>
    <w:rsid w:val="4824696E"/>
    <w:rsid w:val="48256B1B"/>
    <w:rsid w:val="482714E0"/>
    <w:rsid w:val="48282713"/>
    <w:rsid w:val="483914BE"/>
    <w:rsid w:val="484417FA"/>
    <w:rsid w:val="48450ECE"/>
    <w:rsid w:val="4847567D"/>
    <w:rsid w:val="484759CD"/>
    <w:rsid w:val="484B14EC"/>
    <w:rsid w:val="485A1E43"/>
    <w:rsid w:val="48602710"/>
    <w:rsid w:val="486A1313"/>
    <w:rsid w:val="48713351"/>
    <w:rsid w:val="487620DF"/>
    <w:rsid w:val="488012D3"/>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8FA39B0"/>
    <w:rsid w:val="48FC4D08"/>
    <w:rsid w:val="4914681C"/>
    <w:rsid w:val="4916605C"/>
    <w:rsid w:val="491B63DF"/>
    <w:rsid w:val="491D63E9"/>
    <w:rsid w:val="4920610E"/>
    <w:rsid w:val="492B6F05"/>
    <w:rsid w:val="4932285C"/>
    <w:rsid w:val="493617F0"/>
    <w:rsid w:val="4937272B"/>
    <w:rsid w:val="4937722C"/>
    <w:rsid w:val="49384E02"/>
    <w:rsid w:val="493E2F78"/>
    <w:rsid w:val="494049CC"/>
    <w:rsid w:val="49411EAF"/>
    <w:rsid w:val="494B4C4F"/>
    <w:rsid w:val="495217DF"/>
    <w:rsid w:val="49563E3A"/>
    <w:rsid w:val="49572F75"/>
    <w:rsid w:val="4958367A"/>
    <w:rsid w:val="495A044A"/>
    <w:rsid w:val="497110D5"/>
    <w:rsid w:val="497206BF"/>
    <w:rsid w:val="497C7C92"/>
    <w:rsid w:val="49816679"/>
    <w:rsid w:val="498817B3"/>
    <w:rsid w:val="498A16CD"/>
    <w:rsid w:val="498C06A5"/>
    <w:rsid w:val="498E38C3"/>
    <w:rsid w:val="49997D51"/>
    <w:rsid w:val="499C7517"/>
    <w:rsid w:val="499E07E8"/>
    <w:rsid w:val="49A14359"/>
    <w:rsid w:val="49A33C27"/>
    <w:rsid w:val="49A750B5"/>
    <w:rsid w:val="49AB1A6B"/>
    <w:rsid w:val="49AD6B0D"/>
    <w:rsid w:val="49BE07DA"/>
    <w:rsid w:val="49C50DBA"/>
    <w:rsid w:val="49C62636"/>
    <w:rsid w:val="49C84AA0"/>
    <w:rsid w:val="49CE3923"/>
    <w:rsid w:val="49CF11BE"/>
    <w:rsid w:val="49D7694D"/>
    <w:rsid w:val="49DB7275"/>
    <w:rsid w:val="49E234CC"/>
    <w:rsid w:val="49EC3531"/>
    <w:rsid w:val="49F152D3"/>
    <w:rsid w:val="49F8312B"/>
    <w:rsid w:val="49FE46F2"/>
    <w:rsid w:val="4A0244D3"/>
    <w:rsid w:val="4A0B3920"/>
    <w:rsid w:val="4A121195"/>
    <w:rsid w:val="4A255046"/>
    <w:rsid w:val="4A276433"/>
    <w:rsid w:val="4A2E1525"/>
    <w:rsid w:val="4A344BCC"/>
    <w:rsid w:val="4A3D3E88"/>
    <w:rsid w:val="4A4A538E"/>
    <w:rsid w:val="4A5A756D"/>
    <w:rsid w:val="4A5E7C7E"/>
    <w:rsid w:val="4A722B4C"/>
    <w:rsid w:val="4A785772"/>
    <w:rsid w:val="4A842E43"/>
    <w:rsid w:val="4A845C50"/>
    <w:rsid w:val="4A850CB0"/>
    <w:rsid w:val="4A89105B"/>
    <w:rsid w:val="4AA341CC"/>
    <w:rsid w:val="4AA939F9"/>
    <w:rsid w:val="4AAF3985"/>
    <w:rsid w:val="4AB21F2E"/>
    <w:rsid w:val="4AB25A4D"/>
    <w:rsid w:val="4AC13295"/>
    <w:rsid w:val="4AC31003"/>
    <w:rsid w:val="4AC40F4C"/>
    <w:rsid w:val="4ACC44B7"/>
    <w:rsid w:val="4ACE1548"/>
    <w:rsid w:val="4AD25F33"/>
    <w:rsid w:val="4AD77DA7"/>
    <w:rsid w:val="4ADD641F"/>
    <w:rsid w:val="4ADF3B16"/>
    <w:rsid w:val="4AE072CB"/>
    <w:rsid w:val="4AE1398C"/>
    <w:rsid w:val="4AE93159"/>
    <w:rsid w:val="4AE951C1"/>
    <w:rsid w:val="4AF02EA1"/>
    <w:rsid w:val="4AF8693E"/>
    <w:rsid w:val="4AF86E0A"/>
    <w:rsid w:val="4B137068"/>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CC39E9"/>
    <w:rsid w:val="4BD0339A"/>
    <w:rsid w:val="4BD41FD1"/>
    <w:rsid w:val="4BF23C29"/>
    <w:rsid w:val="4BF32495"/>
    <w:rsid w:val="4BF838F0"/>
    <w:rsid w:val="4BFA3FA2"/>
    <w:rsid w:val="4C065916"/>
    <w:rsid w:val="4C096C71"/>
    <w:rsid w:val="4C1269A9"/>
    <w:rsid w:val="4C13549C"/>
    <w:rsid w:val="4C1A51CC"/>
    <w:rsid w:val="4C2910DF"/>
    <w:rsid w:val="4C2B4DDD"/>
    <w:rsid w:val="4C3743A5"/>
    <w:rsid w:val="4C3C6B23"/>
    <w:rsid w:val="4C487137"/>
    <w:rsid w:val="4C521E0D"/>
    <w:rsid w:val="4C562817"/>
    <w:rsid w:val="4C562920"/>
    <w:rsid w:val="4C5D1F92"/>
    <w:rsid w:val="4C5E6911"/>
    <w:rsid w:val="4C603F16"/>
    <w:rsid w:val="4C6262E0"/>
    <w:rsid w:val="4C6703A3"/>
    <w:rsid w:val="4C696BB7"/>
    <w:rsid w:val="4C6A0682"/>
    <w:rsid w:val="4C6D7518"/>
    <w:rsid w:val="4C777E2A"/>
    <w:rsid w:val="4C87603B"/>
    <w:rsid w:val="4C923A72"/>
    <w:rsid w:val="4C9B5631"/>
    <w:rsid w:val="4CB836A9"/>
    <w:rsid w:val="4CB95DE1"/>
    <w:rsid w:val="4CB96B0F"/>
    <w:rsid w:val="4CBD582C"/>
    <w:rsid w:val="4CC82D24"/>
    <w:rsid w:val="4CCF2CDE"/>
    <w:rsid w:val="4CD32F17"/>
    <w:rsid w:val="4CD84F4C"/>
    <w:rsid w:val="4CE34E9F"/>
    <w:rsid w:val="4CF52D94"/>
    <w:rsid w:val="4CFB6ABE"/>
    <w:rsid w:val="4CFE5028"/>
    <w:rsid w:val="4D0B5968"/>
    <w:rsid w:val="4D19368B"/>
    <w:rsid w:val="4D307BC9"/>
    <w:rsid w:val="4D462159"/>
    <w:rsid w:val="4D47409F"/>
    <w:rsid w:val="4D525BE3"/>
    <w:rsid w:val="4D566017"/>
    <w:rsid w:val="4D6022FC"/>
    <w:rsid w:val="4D626381"/>
    <w:rsid w:val="4D695FF9"/>
    <w:rsid w:val="4D775CBF"/>
    <w:rsid w:val="4D7D3EFB"/>
    <w:rsid w:val="4D866DE7"/>
    <w:rsid w:val="4D8B0123"/>
    <w:rsid w:val="4D931B47"/>
    <w:rsid w:val="4DA209D1"/>
    <w:rsid w:val="4DAF14C5"/>
    <w:rsid w:val="4DB9067A"/>
    <w:rsid w:val="4DC605B6"/>
    <w:rsid w:val="4DCA5DBC"/>
    <w:rsid w:val="4DCB146F"/>
    <w:rsid w:val="4DD053B8"/>
    <w:rsid w:val="4DD732D2"/>
    <w:rsid w:val="4DEC0985"/>
    <w:rsid w:val="4DF85277"/>
    <w:rsid w:val="4E024AB6"/>
    <w:rsid w:val="4E0538A3"/>
    <w:rsid w:val="4E0E6818"/>
    <w:rsid w:val="4E1F46AE"/>
    <w:rsid w:val="4E2058BA"/>
    <w:rsid w:val="4E222D32"/>
    <w:rsid w:val="4E27683A"/>
    <w:rsid w:val="4E321D35"/>
    <w:rsid w:val="4E351C8D"/>
    <w:rsid w:val="4E397241"/>
    <w:rsid w:val="4E3B1C8E"/>
    <w:rsid w:val="4E475353"/>
    <w:rsid w:val="4E4B2B03"/>
    <w:rsid w:val="4E4C50A3"/>
    <w:rsid w:val="4E510698"/>
    <w:rsid w:val="4E53406F"/>
    <w:rsid w:val="4E576363"/>
    <w:rsid w:val="4E5D49B1"/>
    <w:rsid w:val="4E635567"/>
    <w:rsid w:val="4E674786"/>
    <w:rsid w:val="4E6E0A65"/>
    <w:rsid w:val="4E742982"/>
    <w:rsid w:val="4E766B3C"/>
    <w:rsid w:val="4E7F1E8F"/>
    <w:rsid w:val="4E7F5AF4"/>
    <w:rsid w:val="4E840E30"/>
    <w:rsid w:val="4E862481"/>
    <w:rsid w:val="4E8E6C97"/>
    <w:rsid w:val="4E9C0636"/>
    <w:rsid w:val="4E9D29FB"/>
    <w:rsid w:val="4EA22C4C"/>
    <w:rsid w:val="4EA30DB6"/>
    <w:rsid w:val="4EA7341F"/>
    <w:rsid w:val="4EC445EA"/>
    <w:rsid w:val="4EDB58B2"/>
    <w:rsid w:val="4EDD1619"/>
    <w:rsid w:val="4EDF48DE"/>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A4479"/>
    <w:rsid w:val="4FBF4BE3"/>
    <w:rsid w:val="4FDA6E7F"/>
    <w:rsid w:val="4FE30332"/>
    <w:rsid w:val="4FE70BB4"/>
    <w:rsid w:val="4FE73C01"/>
    <w:rsid w:val="4FE87C31"/>
    <w:rsid w:val="4FF14DCF"/>
    <w:rsid w:val="4FF85C93"/>
    <w:rsid w:val="4FFA246D"/>
    <w:rsid w:val="50070D86"/>
    <w:rsid w:val="500815B6"/>
    <w:rsid w:val="50093D5E"/>
    <w:rsid w:val="500B39BC"/>
    <w:rsid w:val="500E7DCA"/>
    <w:rsid w:val="50163074"/>
    <w:rsid w:val="501939DF"/>
    <w:rsid w:val="502173F8"/>
    <w:rsid w:val="5022123F"/>
    <w:rsid w:val="502B7315"/>
    <w:rsid w:val="502B7EB7"/>
    <w:rsid w:val="5035213F"/>
    <w:rsid w:val="503C7850"/>
    <w:rsid w:val="503E570B"/>
    <w:rsid w:val="503E79CC"/>
    <w:rsid w:val="503F32CF"/>
    <w:rsid w:val="5041152A"/>
    <w:rsid w:val="50487D3A"/>
    <w:rsid w:val="50490474"/>
    <w:rsid w:val="504C77D2"/>
    <w:rsid w:val="504E004A"/>
    <w:rsid w:val="5055307A"/>
    <w:rsid w:val="50560460"/>
    <w:rsid w:val="50601A5C"/>
    <w:rsid w:val="50722E98"/>
    <w:rsid w:val="507E1B25"/>
    <w:rsid w:val="5080610B"/>
    <w:rsid w:val="50897B2F"/>
    <w:rsid w:val="508E3B94"/>
    <w:rsid w:val="508E4492"/>
    <w:rsid w:val="5090223F"/>
    <w:rsid w:val="50924591"/>
    <w:rsid w:val="50955430"/>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B2905"/>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82AB2"/>
    <w:rsid w:val="51BA0CB7"/>
    <w:rsid w:val="51C41A0B"/>
    <w:rsid w:val="51C44E20"/>
    <w:rsid w:val="51CF2D5C"/>
    <w:rsid w:val="51D129CA"/>
    <w:rsid w:val="51D93F8A"/>
    <w:rsid w:val="51DC16DA"/>
    <w:rsid w:val="51DE0461"/>
    <w:rsid w:val="51E5046A"/>
    <w:rsid w:val="51E7409C"/>
    <w:rsid w:val="52020133"/>
    <w:rsid w:val="520222D8"/>
    <w:rsid w:val="52272B85"/>
    <w:rsid w:val="52284E31"/>
    <w:rsid w:val="52377546"/>
    <w:rsid w:val="523E09B5"/>
    <w:rsid w:val="52687B2A"/>
    <w:rsid w:val="526B46E9"/>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2FE3EBB"/>
    <w:rsid w:val="53061721"/>
    <w:rsid w:val="530C0E6B"/>
    <w:rsid w:val="530D1C98"/>
    <w:rsid w:val="53112BE3"/>
    <w:rsid w:val="531A5380"/>
    <w:rsid w:val="531F0245"/>
    <w:rsid w:val="53227B62"/>
    <w:rsid w:val="532F77EA"/>
    <w:rsid w:val="53305814"/>
    <w:rsid w:val="53367575"/>
    <w:rsid w:val="533933AA"/>
    <w:rsid w:val="533B7F54"/>
    <w:rsid w:val="53462FD7"/>
    <w:rsid w:val="535009E1"/>
    <w:rsid w:val="535321C1"/>
    <w:rsid w:val="53615FE4"/>
    <w:rsid w:val="53650168"/>
    <w:rsid w:val="536662B9"/>
    <w:rsid w:val="536C2A29"/>
    <w:rsid w:val="53863C94"/>
    <w:rsid w:val="538859E4"/>
    <w:rsid w:val="538E3092"/>
    <w:rsid w:val="53902B11"/>
    <w:rsid w:val="53980FEB"/>
    <w:rsid w:val="5398565C"/>
    <w:rsid w:val="539F394B"/>
    <w:rsid w:val="53A20FFA"/>
    <w:rsid w:val="53A233E4"/>
    <w:rsid w:val="53A72D33"/>
    <w:rsid w:val="53A94C48"/>
    <w:rsid w:val="53AA7BC7"/>
    <w:rsid w:val="53AE5EA5"/>
    <w:rsid w:val="53AF1E0C"/>
    <w:rsid w:val="53B00B1F"/>
    <w:rsid w:val="53B2409D"/>
    <w:rsid w:val="53B31E73"/>
    <w:rsid w:val="53B66A75"/>
    <w:rsid w:val="53C50290"/>
    <w:rsid w:val="53D6247A"/>
    <w:rsid w:val="53DB3477"/>
    <w:rsid w:val="53DE00FF"/>
    <w:rsid w:val="53E77CBF"/>
    <w:rsid w:val="53E92771"/>
    <w:rsid w:val="53EA0B45"/>
    <w:rsid w:val="53F16BC7"/>
    <w:rsid w:val="53FE7128"/>
    <w:rsid w:val="540950C5"/>
    <w:rsid w:val="541E7DB0"/>
    <w:rsid w:val="54201800"/>
    <w:rsid w:val="54247F22"/>
    <w:rsid w:val="542C29CD"/>
    <w:rsid w:val="542F1551"/>
    <w:rsid w:val="54321466"/>
    <w:rsid w:val="54381756"/>
    <w:rsid w:val="544143C8"/>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3712D"/>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3F4386"/>
    <w:rsid w:val="55401B14"/>
    <w:rsid w:val="554748F2"/>
    <w:rsid w:val="554D414C"/>
    <w:rsid w:val="554E7279"/>
    <w:rsid w:val="55516A9E"/>
    <w:rsid w:val="55594E94"/>
    <w:rsid w:val="55594FFB"/>
    <w:rsid w:val="55637CEB"/>
    <w:rsid w:val="55677DDA"/>
    <w:rsid w:val="557225B1"/>
    <w:rsid w:val="55757FB9"/>
    <w:rsid w:val="558721D9"/>
    <w:rsid w:val="55884237"/>
    <w:rsid w:val="558C5D31"/>
    <w:rsid w:val="558C7FAA"/>
    <w:rsid w:val="55900510"/>
    <w:rsid w:val="559147DD"/>
    <w:rsid w:val="55947881"/>
    <w:rsid w:val="55A25EB7"/>
    <w:rsid w:val="55A66DC8"/>
    <w:rsid w:val="55A82784"/>
    <w:rsid w:val="55A97512"/>
    <w:rsid w:val="55A9759E"/>
    <w:rsid w:val="55B63FD5"/>
    <w:rsid w:val="55BA25C9"/>
    <w:rsid w:val="55C35A76"/>
    <w:rsid w:val="55CB3C2E"/>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420"/>
    <w:rsid w:val="564E5820"/>
    <w:rsid w:val="56594C9E"/>
    <w:rsid w:val="565E7F86"/>
    <w:rsid w:val="56630C00"/>
    <w:rsid w:val="56687250"/>
    <w:rsid w:val="567739D2"/>
    <w:rsid w:val="56775A0A"/>
    <w:rsid w:val="567F6E75"/>
    <w:rsid w:val="56841DE8"/>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442B7"/>
    <w:rsid w:val="57D82354"/>
    <w:rsid w:val="57E942BC"/>
    <w:rsid w:val="57EB3AC0"/>
    <w:rsid w:val="57EB6DC4"/>
    <w:rsid w:val="57FC07D9"/>
    <w:rsid w:val="57FD7F73"/>
    <w:rsid w:val="57FF6992"/>
    <w:rsid w:val="5808013E"/>
    <w:rsid w:val="580B408B"/>
    <w:rsid w:val="580F1B21"/>
    <w:rsid w:val="58191E63"/>
    <w:rsid w:val="581B7E79"/>
    <w:rsid w:val="58265D9B"/>
    <w:rsid w:val="58325C2F"/>
    <w:rsid w:val="58465DA1"/>
    <w:rsid w:val="58500F22"/>
    <w:rsid w:val="58510734"/>
    <w:rsid w:val="58527FAB"/>
    <w:rsid w:val="58587379"/>
    <w:rsid w:val="586D57A3"/>
    <w:rsid w:val="586F604C"/>
    <w:rsid w:val="587917A0"/>
    <w:rsid w:val="587A4288"/>
    <w:rsid w:val="587B662F"/>
    <w:rsid w:val="5880052B"/>
    <w:rsid w:val="588143B1"/>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C3D64"/>
    <w:rsid w:val="58EF63EE"/>
    <w:rsid w:val="58FB7933"/>
    <w:rsid w:val="590317F0"/>
    <w:rsid w:val="59075000"/>
    <w:rsid w:val="591326B2"/>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06EA0"/>
    <w:rsid w:val="59A36725"/>
    <w:rsid w:val="59B21BF9"/>
    <w:rsid w:val="59BA46A2"/>
    <w:rsid w:val="59BB12EB"/>
    <w:rsid w:val="59BB4EA3"/>
    <w:rsid w:val="59CF48AD"/>
    <w:rsid w:val="59E9525B"/>
    <w:rsid w:val="59EA3F3F"/>
    <w:rsid w:val="59EE2F1B"/>
    <w:rsid w:val="59F01484"/>
    <w:rsid w:val="59F52445"/>
    <w:rsid w:val="59F55223"/>
    <w:rsid w:val="59F70BAF"/>
    <w:rsid w:val="5A023A34"/>
    <w:rsid w:val="5A0F52D4"/>
    <w:rsid w:val="5A1A17BB"/>
    <w:rsid w:val="5A297D0D"/>
    <w:rsid w:val="5A3C0F08"/>
    <w:rsid w:val="5A3E5B83"/>
    <w:rsid w:val="5A4440A8"/>
    <w:rsid w:val="5A4511BC"/>
    <w:rsid w:val="5A4B5B7A"/>
    <w:rsid w:val="5A5663A3"/>
    <w:rsid w:val="5A571746"/>
    <w:rsid w:val="5A6253E3"/>
    <w:rsid w:val="5A6667DB"/>
    <w:rsid w:val="5A805074"/>
    <w:rsid w:val="5A8E6670"/>
    <w:rsid w:val="5A912613"/>
    <w:rsid w:val="5A923F1B"/>
    <w:rsid w:val="5A9245E9"/>
    <w:rsid w:val="5A953D41"/>
    <w:rsid w:val="5A9A4D4B"/>
    <w:rsid w:val="5A9B495D"/>
    <w:rsid w:val="5AB633E6"/>
    <w:rsid w:val="5AB63D68"/>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53FD2"/>
    <w:rsid w:val="5B28192B"/>
    <w:rsid w:val="5B2D5DF9"/>
    <w:rsid w:val="5B32616A"/>
    <w:rsid w:val="5B326DAF"/>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1066F"/>
    <w:rsid w:val="5B9251EF"/>
    <w:rsid w:val="5BA87B66"/>
    <w:rsid w:val="5BAB5BC4"/>
    <w:rsid w:val="5BB20B74"/>
    <w:rsid w:val="5BC677D8"/>
    <w:rsid w:val="5BC82981"/>
    <w:rsid w:val="5BD91F40"/>
    <w:rsid w:val="5BE15701"/>
    <w:rsid w:val="5BE6235A"/>
    <w:rsid w:val="5BEB0120"/>
    <w:rsid w:val="5BEC175C"/>
    <w:rsid w:val="5BEF2C6F"/>
    <w:rsid w:val="5BFC7B76"/>
    <w:rsid w:val="5C097C4E"/>
    <w:rsid w:val="5C0D717D"/>
    <w:rsid w:val="5C140AA0"/>
    <w:rsid w:val="5C1A3A93"/>
    <w:rsid w:val="5C1C16CF"/>
    <w:rsid w:val="5C235386"/>
    <w:rsid w:val="5C277EFF"/>
    <w:rsid w:val="5C395BED"/>
    <w:rsid w:val="5C3A76D7"/>
    <w:rsid w:val="5C3B6CFC"/>
    <w:rsid w:val="5C3C1AE5"/>
    <w:rsid w:val="5C414DE8"/>
    <w:rsid w:val="5C474011"/>
    <w:rsid w:val="5C4A34F9"/>
    <w:rsid w:val="5C4C2CF4"/>
    <w:rsid w:val="5C5A7F10"/>
    <w:rsid w:val="5C6422CD"/>
    <w:rsid w:val="5C6B1600"/>
    <w:rsid w:val="5C6D221A"/>
    <w:rsid w:val="5C7D70D1"/>
    <w:rsid w:val="5C8542A8"/>
    <w:rsid w:val="5C967CB7"/>
    <w:rsid w:val="5C9F41E0"/>
    <w:rsid w:val="5CA6294E"/>
    <w:rsid w:val="5CA92DD2"/>
    <w:rsid w:val="5CAC6214"/>
    <w:rsid w:val="5CAF2FDA"/>
    <w:rsid w:val="5CB551AD"/>
    <w:rsid w:val="5CBA57B4"/>
    <w:rsid w:val="5CDB241D"/>
    <w:rsid w:val="5CDB3358"/>
    <w:rsid w:val="5CE14ED3"/>
    <w:rsid w:val="5CE222FE"/>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A6D44"/>
    <w:rsid w:val="5D3E0DC1"/>
    <w:rsid w:val="5D3F0BDF"/>
    <w:rsid w:val="5D4A529A"/>
    <w:rsid w:val="5D4B35A4"/>
    <w:rsid w:val="5D5B7098"/>
    <w:rsid w:val="5D634689"/>
    <w:rsid w:val="5D634782"/>
    <w:rsid w:val="5D654194"/>
    <w:rsid w:val="5D676A87"/>
    <w:rsid w:val="5D6A7C12"/>
    <w:rsid w:val="5D6E1B86"/>
    <w:rsid w:val="5D725A84"/>
    <w:rsid w:val="5D767D63"/>
    <w:rsid w:val="5D787085"/>
    <w:rsid w:val="5D8A140E"/>
    <w:rsid w:val="5D8A2CFF"/>
    <w:rsid w:val="5D903810"/>
    <w:rsid w:val="5D926D13"/>
    <w:rsid w:val="5D960EE9"/>
    <w:rsid w:val="5D9A0CFA"/>
    <w:rsid w:val="5D9B296A"/>
    <w:rsid w:val="5D9C1943"/>
    <w:rsid w:val="5D9C7622"/>
    <w:rsid w:val="5DA53D05"/>
    <w:rsid w:val="5DA653BF"/>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C0450"/>
    <w:rsid w:val="5E1D4A67"/>
    <w:rsid w:val="5E1F2E4C"/>
    <w:rsid w:val="5E237029"/>
    <w:rsid w:val="5E3929A4"/>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A83606"/>
    <w:rsid w:val="5EB07A41"/>
    <w:rsid w:val="5EB51FDE"/>
    <w:rsid w:val="5EB556F0"/>
    <w:rsid w:val="5EB826AC"/>
    <w:rsid w:val="5EBA4472"/>
    <w:rsid w:val="5EC3227D"/>
    <w:rsid w:val="5ECA2293"/>
    <w:rsid w:val="5ECA3D37"/>
    <w:rsid w:val="5EDF0A6E"/>
    <w:rsid w:val="5EE153F8"/>
    <w:rsid w:val="5EED7893"/>
    <w:rsid w:val="5EF04BC6"/>
    <w:rsid w:val="5EFB2125"/>
    <w:rsid w:val="5EFB6F0A"/>
    <w:rsid w:val="5F0279C4"/>
    <w:rsid w:val="5F043765"/>
    <w:rsid w:val="5F0A3A61"/>
    <w:rsid w:val="5F1232DB"/>
    <w:rsid w:val="5F1E1D1D"/>
    <w:rsid w:val="5F28007C"/>
    <w:rsid w:val="5F2C696D"/>
    <w:rsid w:val="5F3370DF"/>
    <w:rsid w:val="5F351942"/>
    <w:rsid w:val="5F395DFE"/>
    <w:rsid w:val="5F3B6ED3"/>
    <w:rsid w:val="5F3E2D22"/>
    <w:rsid w:val="5F40399D"/>
    <w:rsid w:val="5F45020C"/>
    <w:rsid w:val="5F495527"/>
    <w:rsid w:val="5F5D4AA6"/>
    <w:rsid w:val="5F683B6E"/>
    <w:rsid w:val="5F6B1E1C"/>
    <w:rsid w:val="5F8222ED"/>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10068"/>
    <w:rsid w:val="60183392"/>
    <w:rsid w:val="601A4CB1"/>
    <w:rsid w:val="601B56CB"/>
    <w:rsid w:val="6027083A"/>
    <w:rsid w:val="60285A7A"/>
    <w:rsid w:val="602C0637"/>
    <w:rsid w:val="602C236D"/>
    <w:rsid w:val="603514E5"/>
    <w:rsid w:val="603967D7"/>
    <w:rsid w:val="603D3325"/>
    <w:rsid w:val="604040A8"/>
    <w:rsid w:val="604269BB"/>
    <w:rsid w:val="60437370"/>
    <w:rsid w:val="60443CFE"/>
    <w:rsid w:val="60470CE3"/>
    <w:rsid w:val="604743E7"/>
    <w:rsid w:val="604B148A"/>
    <w:rsid w:val="60547677"/>
    <w:rsid w:val="6057218F"/>
    <w:rsid w:val="605F4F5D"/>
    <w:rsid w:val="606439DF"/>
    <w:rsid w:val="606711B4"/>
    <w:rsid w:val="60673C40"/>
    <w:rsid w:val="606A52D4"/>
    <w:rsid w:val="607C3753"/>
    <w:rsid w:val="60895CED"/>
    <w:rsid w:val="608A554D"/>
    <w:rsid w:val="608D1D4E"/>
    <w:rsid w:val="608D7975"/>
    <w:rsid w:val="6092569C"/>
    <w:rsid w:val="6093187E"/>
    <w:rsid w:val="609A17DD"/>
    <w:rsid w:val="60A862C5"/>
    <w:rsid w:val="60AA5A82"/>
    <w:rsid w:val="60AD0357"/>
    <w:rsid w:val="60B004BE"/>
    <w:rsid w:val="60B602C1"/>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26E81"/>
    <w:rsid w:val="61186D8B"/>
    <w:rsid w:val="6121108E"/>
    <w:rsid w:val="61421EFD"/>
    <w:rsid w:val="61457124"/>
    <w:rsid w:val="61507CAF"/>
    <w:rsid w:val="615C5041"/>
    <w:rsid w:val="61631B5D"/>
    <w:rsid w:val="617874FC"/>
    <w:rsid w:val="617A6EE7"/>
    <w:rsid w:val="617E7C88"/>
    <w:rsid w:val="61813BF8"/>
    <w:rsid w:val="6182260C"/>
    <w:rsid w:val="618479EA"/>
    <w:rsid w:val="6187491A"/>
    <w:rsid w:val="61890387"/>
    <w:rsid w:val="61996169"/>
    <w:rsid w:val="619B60ED"/>
    <w:rsid w:val="61A773BF"/>
    <w:rsid w:val="61AD68BC"/>
    <w:rsid w:val="61AE5BE1"/>
    <w:rsid w:val="61B173D2"/>
    <w:rsid w:val="61C6454D"/>
    <w:rsid w:val="61C6707F"/>
    <w:rsid w:val="61CB2F35"/>
    <w:rsid w:val="61D43510"/>
    <w:rsid w:val="61D43A2B"/>
    <w:rsid w:val="61DA5E11"/>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985BA8"/>
    <w:rsid w:val="62A05735"/>
    <w:rsid w:val="62A411F8"/>
    <w:rsid w:val="62A81340"/>
    <w:rsid w:val="62A81A26"/>
    <w:rsid w:val="62A847ED"/>
    <w:rsid w:val="62AD4C85"/>
    <w:rsid w:val="62BA7A46"/>
    <w:rsid w:val="62C376AC"/>
    <w:rsid w:val="62CE13CB"/>
    <w:rsid w:val="62CF102D"/>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6C1E11"/>
    <w:rsid w:val="63781F88"/>
    <w:rsid w:val="638C3395"/>
    <w:rsid w:val="638E56DB"/>
    <w:rsid w:val="638F37E5"/>
    <w:rsid w:val="63927E66"/>
    <w:rsid w:val="639C2AFB"/>
    <w:rsid w:val="63A163DD"/>
    <w:rsid w:val="63B82D87"/>
    <w:rsid w:val="63BA3154"/>
    <w:rsid w:val="63BA319C"/>
    <w:rsid w:val="63BE12B9"/>
    <w:rsid w:val="63C948C4"/>
    <w:rsid w:val="63CA2E8B"/>
    <w:rsid w:val="63D4153E"/>
    <w:rsid w:val="63DC7755"/>
    <w:rsid w:val="63E05970"/>
    <w:rsid w:val="63E17D6C"/>
    <w:rsid w:val="63E43D21"/>
    <w:rsid w:val="63E97377"/>
    <w:rsid w:val="63EA4DF9"/>
    <w:rsid w:val="63F47D2A"/>
    <w:rsid w:val="63FE2D33"/>
    <w:rsid w:val="64046427"/>
    <w:rsid w:val="64074513"/>
    <w:rsid w:val="641461CF"/>
    <w:rsid w:val="64195948"/>
    <w:rsid w:val="641A3F4C"/>
    <w:rsid w:val="64202F9E"/>
    <w:rsid w:val="64211FFA"/>
    <w:rsid w:val="642226FD"/>
    <w:rsid w:val="64264A79"/>
    <w:rsid w:val="64290161"/>
    <w:rsid w:val="642D0D23"/>
    <w:rsid w:val="64304E58"/>
    <w:rsid w:val="64311867"/>
    <w:rsid w:val="64391ED3"/>
    <w:rsid w:val="64426B0C"/>
    <w:rsid w:val="6445632E"/>
    <w:rsid w:val="644D3D02"/>
    <w:rsid w:val="645C7EA7"/>
    <w:rsid w:val="646D2819"/>
    <w:rsid w:val="64742B63"/>
    <w:rsid w:val="647E661E"/>
    <w:rsid w:val="647E786B"/>
    <w:rsid w:val="648939AA"/>
    <w:rsid w:val="64897A59"/>
    <w:rsid w:val="648C635C"/>
    <w:rsid w:val="64927F4F"/>
    <w:rsid w:val="649B1AC2"/>
    <w:rsid w:val="64A7467B"/>
    <w:rsid w:val="64B53322"/>
    <w:rsid w:val="64B81AF4"/>
    <w:rsid w:val="64C61AF8"/>
    <w:rsid w:val="64C70058"/>
    <w:rsid w:val="64C86505"/>
    <w:rsid w:val="64CA3429"/>
    <w:rsid w:val="64EC5D31"/>
    <w:rsid w:val="64F132B2"/>
    <w:rsid w:val="64FE700F"/>
    <w:rsid w:val="6500327F"/>
    <w:rsid w:val="65047D86"/>
    <w:rsid w:val="6506609B"/>
    <w:rsid w:val="65083216"/>
    <w:rsid w:val="6508621E"/>
    <w:rsid w:val="65092761"/>
    <w:rsid w:val="651E3B1A"/>
    <w:rsid w:val="653300A4"/>
    <w:rsid w:val="653A001F"/>
    <w:rsid w:val="65460728"/>
    <w:rsid w:val="654F5A0F"/>
    <w:rsid w:val="655A04C2"/>
    <w:rsid w:val="65724C80"/>
    <w:rsid w:val="65741425"/>
    <w:rsid w:val="65787DED"/>
    <w:rsid w:val="65805F51"/>
    <w:rsid w:val="65822810"/>
    <w:rsid w:val="65870C45"/>
    <w:rsid w:val="65961885"/>
    <w:rsid w:val="659705FF"/>
    <w:rsid w:val="65A5156E"/>
    <w:rsid w:val="65A671FC"/>
    <w:rsid w:val="65AA6346"/>
    <w:rsid w:val="65AF5692"/>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396F"/>
    <w:rsid w:val="66265846"/>
    <w:rsid w:val="66287C9C"/>
    <w:rsid w:val="662D4566"/>
    <w:rsid w:val="662E4097"/>
    <w:rsid w:val="664470E3"/>
    <w:rsid w:val="66475F5D"/>
    <w:rsid w:val="664805B8"/>
    <w:rsid w:val="665572E9"/>
    <w:rsid w:val="66583C79"/>
    <w:rsid w:val="665A078F"/>
    <w:rsid w:val="665B55EA"/>
    <w:rsid w:val="66641D58"/>
    <w:rsid w:val="66655F85"/>
    <w:rsid w:val="667C7AEC"/>
    <w:rsid w:val="66847466"/>
    <w:rsid w:val="66863A0F"/>
    <w:rsid w:val="668D465E"/>
    <w:rsid w:val="66984358"/>
    <w:rsid w:val="669903D3"/>
    <w:rsid w:val="6699288D"/>
    <w:rsid w:val="669B7C76"/>
    <w:rsid w:val="669D04F1"/>
    <w:rsid w:val="66A200F8"/>
    <w:rsid w:val="66A30EC2"/>
    <w:rsid w:val="66A31FD2"/>
    <w:rsid w:val="66A96DBC"/>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1F79EE"/>
    <w:rsid w:val="6721093A"/>
    <w:rsid w:val="6722537E"/>
    <w:rsid w:val="672514BE"/>
    <w:rsid w:val="67302DC3"/>
    <w:rsid w:val="673762BE"/>
    <w:rsid w:val="673E681D"/>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01CAC"/>
    <w:rsid w:val="67B163D1"/>
    <w:rsid w:val="67C136F2"/>
    <w:rsid w:val="67CA69AB"/>
    <w:rsid w:val="67E26789"/>
    <w:rsid w:val="67EF299C"/>
    <w:rsid w:val="67F45538"/>
    <w:rsid w:val="67F57921"/>
    <w:rsid w:val="67F66B9D"/>
    <w:rsid w:val="680239EB"/>
    <w:rsid w:val="680722DA"/>
    <w:rsid w:val="6809309C"/>
    <w:rsid w:val="68120E37"/>
    <w:rsid w:val="681306CB"/>
    <w:rsid w:val="681D48AF"/>
    <w:rsid w:val="681E0177"/>
    <w:rsid w:val="682211D1"/>
    <w:rsid w:val="68253783"/>
    <w:rsid w:val="6839556F"/>
    <w:rsid w:val="683A1966"/>
    <w:rsid w:val="684167D2"/>
    <w:rsid w:val="684B40A8"/>
    <w:rsid w:val="68565CBD"/>
    <w:rsid w:val="685B4737"/>
    <w:rsid w:val="685C6395"/>
    <w:rsid w:val="686318DD"/>
    <w:rsid w:val="68635145"/>
    <w:rsid w:val="68654714"/>
    <w:rsid w:val="687F607E"/>
    <w:rsid w:val="688C4213"/>
    <w:rsid w:val="688D4D1E"/>
    <w:rsid w:val="68916B30"/>
    <w:rsid w:val="68950378"/>
    <w:rsid w:val="68984999"/>
    <w:rsid w:val="689A41FB"/>
    <w:rsid w:val="689C2BAE"/>
    <w:rsid w:val="689E57F0"/>
    <w:rsid w:val="68A34C5C"/>
    <w:rsid w:val="68B44788"/>
    <w:rsid w:val="68B96277"/>
    <w:rsid w:val="68C66268"/>
    <w:rsid w:val="68C8327F"/>
    <w:rsid w:val="68CD0DD7"/>
    <w:rsid w:val="68DF0626"/>
    <w:rsid w:val="68E145CE"/>
    <w:rsid w:val="68E16F33"/>
    <w:rsid w:val="68E24981"/>
    <w:rsid w:val="68E45DC0"/>
    <w:rsid w:val="68E95F71"/>
    <w:rsid w:val="690218CF"/>
    <w:rsid w:val="69033A72"/>
    <w:rsid w:val="69093C6F"/>
    <w:rsid w:val="690A6A65"/>
    <w:rsid w:val="69123F86"/>
    <w:rsid w:val="69155827"/>
    <w:rsid w:val="69164A76"/>
    <w:rsid w:val="691C1D81"/>
    <w:rsid w:val="691C3525"/>
    <w:rsid w:val="691D1B71"/>
    <w:rsid w:val="69216128"/>
    <w:rsid w:val="69267D9D"/>
    <w:rsid w:val="69280874"/>
    <w:rsid w:val="69335905"/>
    <w:rsid w:val="69360BE5"/>
    <w:rsid w:val="694A2606"/>
    <w:rsid w:val="69531BEA"/>
    <w:rsid w:val="695D6B21"/>
    <w:rsid w:val="69611EE7"/>
    <w:rsid w:val="696C708E"/>
    <w:rsid w:val="696F4D5D"/>
    <w:rsid w:val="697308AB"/>
    <w:rsid w:val="697B2927"/>
    <w:rsid w:val="69850877"/>
    <w:rsid w:val="69894DB5"/>
    <w:rsid w:val="69895442"/>
    <w:rsid w:val="698C13C5"/>
    <w:rsid w:val="699B0245"/>
    <w:rsid w:val="69BC3ADF"/>
    <w:rsid w:val="69D306AC"/>
    <w:rsid w:val="69D34F66"/>
    <w:rsid w:val="69E00E47"/>
    <w:rsid w:val="69EC1B4D"/>
    <w:rsid w:val="69EC6D9F"/>
    <w:rsid w:val="69F0745A"/>
    <w:rsid w:val="69F66961"/>
    <w:rsid w:val="6A0961EA"/>
    <w:rsid w:val="6A0A228D"/>
    <w:rsid w:val="6A0D20F2"/>
    <w:rsid w:val="6A0D2F74"/>
    <w:rsid w:val="6A1742A1"/>
    <w:rsid w:val="6A1C4CE3"/>
    <w:rsid w:val="6A1D59EC"/>
    <w:rsid w:val="6A2353D4"/>
    <w:rsid w:val="6A247F72"/>
    <w:rsid w:val="6A3C43FA"/>
    <w:rsid w:val="6A3E2393"/>
    <w:rsid w:val="6A435B92"/>
    <w:rsid w:val="6A444DB8"/>
    <w:rsid w:val="6A4D4828"/>
    <w:rsid w:val="6A4D6D96"/>
    <w:rsid w:val="6A4F1D6D"/>
    <w:rsid w:val="6A516AC3"/>
    <w:rsid w:val="6A5303BA"/>
    <w:rsid w:val="6A5C6171"/>
    <w:rsid w:val="6A5F3F1C"/>
    <w:rsid w:val="6A677080"/>
    <w:rsid w:val="6A6C5C1E"/>
    <w:rsid w:val="6A6C67AF"/>
    <w:rsid w:val="6A711183"/>
    <w:rsid w:val="6A7468D5"/>
    <w:rsid w:val="6A790E3A"/>
    <w:rsid w:val="6A7B4B9C"/>
    <w:rsid w:val="6A84768F"/>
    <w:rsid w:val="6A917541"/>
    <w:rsid w:val="6A955B90"/>
    <w:rsid w:val="6A966E82"/>
    <w:rsid w:val="6A9C00F5"/>
    <w:rsid w:val="6AA35330"/>
    <w:rsid w:val="6AAC0B91"/>
    <w:rsid w:val="6AAF014C"/>
    <w:rsid w:val="6AB16A41"/>
    <w:rsid w:val="6AC07690"/>
    <w:rsid w:val="6AC14ACC"/>
    <w:rsid w:val="6ACB082B"/>
    <w:rsid w:val="6AD3247E"/>
    <w:rsid w:val="6AD716BA"/>
    <w:rsid w:val="6AE21187"/>
    <w:rsid w:val="6AE4699C"/>
    <w:rsid w:val="6AF124EA"/>
    <w:rsid w:val="6AF317C6"/>
    <w:rsid w:val="6AF64D9A"/>
    <w:rsid w:val="6B031984"/>
    <w:rsid w:val="6B09696B"/>
    <w:rsid w:val="6B1235B7"/>
    <w:rsid w:val="6B127D23"/>
    <w:rsid w:val="6B177A3F"/>
    <w:rsid w:val="6B2167BD"/>
    <w:rsid w:val="6B253777"/>
    <w:rsid w:val="6B283C4B"/>
    <w:rsid w:val="6B2B0EFD"/>
    <w:rsid w:val="6B2C13E4"/>
    <w:rsid w:val="6B2D2EEB"/>
    <w:rsid w:val="6B346460"/>
    <w:rsid w:val="6B373CEA"/>
    <w:rsid w:val="6B3E2F6F"/>
    <w:rsid w:val="6B410613"/>
    <w:rsid w:val="6B4B0A4C"/>
    <w:rsid w:val="6B4B36C9"/>
    <w:rsid w:val="6B4E75E6"/>
    <w:rsid w:val="6B50310B"/>
    <w:rsid w:val="6B5045E2"/>
    <w:rsid w:val="6B517D2C"/>
    <w:rsid w:val="6B5B3B9E"/>
    <w:rsid w:val="6B5C4553"/>
    <w:rsid w:val="6B5C5561"/>
    <w:rsid w:val="6B695848"/>
    <w:rsid w:val="6B730045"/>
    <w:rsid w:val="6B736A2E"/>
    <w:rsid w:val="6B781A16"/>
    <w:rsid w:val="6B856384"/>
    <w:rsid w:val="6B874340"/>
    <w:rsid w:val="6B884219"/>
    <w:rsid w:val="6B8A6FE8"/>
    <w:rsid w:val="6B90781F"/>
    <w:rsid w:val="6B961E42"/>
    <w:rsid w:val="6B9E420B"/>
    <w:rsid w:val="6BA6663C"/>
    <w:rsid w:val="6BA9194F"/>
    <w:rsid w:val="6BB6799B"/>
    <w:rsid w:val="6BB81A6C"/>
    <w:rsid w:val="6BCF6F5D"/>
    <w:rsid w:val="6BE51CE3"/>
    <w:rsid w:val="6BE622E5"/>
    <w:rsid w:val="6BE727F5"/>
    <w:rsid w:val="6BFB1165"/>
    <w:rsid w:val="6C0858B3"/>
    <w:rsid w:val="6C1134DA"/>
    <w:rsid w:val="6C240DF3"/>
    <w:rsid w:val="6C2C422A"/>
    <w:rsid w:val="6C3C41BD"/>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301EF"/>
    <w:rsid w:val="6CA60496"/>
    <w:rsid w:val="6CA6433C"/>
    <w:rsid w:val="6CB71894"/>
    <w:rsid w:val="6CBB58FB"/>
    <w:rsid w:val="6CC535EE"/>
    <w:rsid w:val="6CC56082"/>
    <w:rsid w:val="6CCD1D85"/>
    <w:rsid w:val="6CD431E3"/>
    <w:rsid w:val="6CD50C99"/>
    <w:rsid w:val="6CD63FB3"/>
    <w:rsid w:val="6CDC3EA7"/>
    <w:rsid w:val="6CDD06CC"/>
    <w:rsid w:val="6CDF2E4F"/>
    <w:rsid w:val="6CFE035F"/>
    <w:rsid w:val="6CFF5623"/>
    <w:rsid w:val="6D056EA6"/>
    <w:rsid w:val="6D13119B"/>
    <w:rsid w:val="6D1766A9"/>
    <w:rsid w:val="6D1C0C85"/>
    <w:rsid w:val="6D221E52"/>
    <w:rsid w:val="6D227835"/>
    <w:rsid w:val="6D2505E2"/>
    <w:rsid w:val="6D2663D9"/>
    <w:rsid w:val="6D2834C8"/>
    <w:rsid w:val="6D2F1F0B"/>
    <w:rsid w:val="6D3C6626"/>
    <w:rsid w:val="6D3E495C"/>
    <w:rsid w:val="6D456747"/>
    <w:rsid w:val="6D5D0DB5"/>
    <w:rsid w:val="6D6855B1"/>
    <w:rsid w:val="6D7B4AB7"/>
    <w:rsid w:val="6D8253E8"/>
    <w:rsid w:val="6D836C02"/>
    <w:rsid w:val="6D874AC3"/>
    <w:rsid w:val="6D89784B"/>
    <w:rsid w:val="6D9057BE"/>
    <w:rsid w:val="6D9E0566"/>
    <w:rsid w:val="6DA438F0"/>
    <w:rsid w:val="6DB05786"/>
    <w:rsid w:val="6DB10625"/>
    <w:rsid w:val="6DB2001A"/>
    <w:rsid w:val="6DBA21E4"/>
    <w:rsid w:val="6DBB1F2A"/>
    <w:rsid w:val="6DBE7F27"/>
    <w:rsid w:val="6DC441C8"/>
    <w:rsid w:val="6DC72BAB"/>
    <w:rsid w:val="6DCF21B6"/>
    <w:rsid w:val="6DD13295"/>
    <w:rsid w:val="6DD62CAD"/>
    <w:rsid w:val="6DD753C4"/>
    <w:rsid w:val="6DDC3A4A"/>
    <w:rsid w:val="6DDC5249"/>
    <w:rsid w:val="6DF43BD4"/>
    <w:rsid w:val="6E0E1FAB"/>
    <w:rsid w:val="6E0F2F9F"/>
    <w:rsid w:val="6E1D22B5"/>
    <w:rsid w:val="6E20484B"/>
    <w:rsid w:val="6E2143FB"/>
    <w:rsid w:val="6E2241BE"/>
    <w:rsid w:val="6E2274F9"/>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E4617"/>
    <w:rsid w:val="6F0F0878"/>
    <w:rsid w:val="6F2632E8"/>
    <w:rsid w:val="6F30363A"/>
    <w:rsid w:val="6F3316E5"/>
    <w:rsid w:val="6F3F40F9"/>
    <w:rsid w:val="6F5E0205"/>
    <w:rsid w:val="6F5F15C8"/>
    <w:rsid w:val="6F5F4FCB"/>
    <w:rsid w:val="6F6F14E1"/>
    <w:rsid w:val="6F781191"/>
    <w:rsid w:val="6F86160F"/>
    <w:rsid w:val="6F884D8A"/>
    <w:rsid w:val="6F89712B"/>
    <w:rsid w:val="6F8D1212"/>
    <w:rsid w:val="6F983C13"/>
    <w:rsid w:val="6FA629D4"/>
    <w:rsid w:val="6FA75ADB"/>
    <w:rsid w:val="6FAF2E30"/>
    <w:rsid w:val="6FB146A2"/>
    <w:rsid w:val="6FB72056"/>
    <w:rsid w:val="6FB77ED4"/>
    <w:rsid w:val="6FBD4D2F"/>
    <w:rsid w:val="6FBF4710"/>
    <w:rsid w:val="6FC9109F"/>
    <w:rsid w:val="6FDB518F"/>
    <w:rsid w:val="6FE529ED"/>
    <w:rsid w:val="6FE56B5D"/>
    <w:rsid w:val="6FF1529D"/>
    <w:rsid w:val="6FF517E6"/>
    <w:rsid w:val="6FF733A7"/>
    <w:rsid w:val="70003DD9"/>
    <w:rsid w:val="70072915"/>
    <w:rsid w:val="700C0B76"/>
    <w:rsid w:val="700C6021"/>
    <w:rsid w:val="70172090"/>
    <w:rsid w:val="70195E88"/>
    <w:rsid w:val="701D43BA"/>
    <w:rsid w:val="702B6F43"/>
    <w:rsid w:val="702F0A1B"/>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3816F9"/>
    <w:rsid w:val="71411A70"/>
    <w:rsid w:val="71477682"/>
    <w:rsid w:val="71545B37"/>
    <w:rsid w:val="71566018"/>
    <w:rsid w:val="71570E43"/>
    <w:rsid w:val="71573E01"/>
    <w:rsid w:val="71702748"/>
    <w:rsid w:val="717719E4"/>
    <w:rsid w:val="71862E8D"/>
    <w:rsid w:val="71867894"/>
    <w:rsid w:val="718B0CD8"/>
    <w:rsid w:val="71932EAF"/>
    <w:rsid w:val="719F7A78"/>
    <w:rsid w:val="71A73EB4"/>
    <w:rsid w:val="71B25E63"/>
    <w:rsid w:val="71B30ACA"/>
    <w:rsid w:val="71B61B1C"/>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5223F"/>
    <w:rsid w:val="727C422C"/>
    <w:rsid w:val="727C7861"/>
    <w:rsid w:val="727D5DD0"/>
    <w:rsid w:val="728E71EE"/>
    <w:rsid w:val="7292045A"/>
    <w:rsid w:val="72974DBE"/>
    <w:rsid w:val="729F42EC"/>
    <w:rsid w:val="72A20C20"/>
    <w:rsid w:val="72A72D20"/>
    <w:rsid w:val="72AC5E95"/>
    <w:rsid w:val="72B104F9"/>
    <w:rsid w:val="72B24C9A"/>
    <w:rsid w:val="72B81A8A"/>
    <w:rsid w:val="72BD018D"/>
    <w:rsid w:val="72C13ED7"/>
    <w:rsid w:val="72C33F7A"/>
    <w:rsid w:val="72CB51FC"/>
    <w:rsid w:val="72CF1AC7"/>
    <w:rsid w:val="72D43894"/>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4034F"/>
    <w:rsid w:val="733B069A"/>
    <w:rsid w:val="73464847"/>
    <w:rsid w:val="734F0C79"/>
    <w:rsid w:val="734F4185"/>
    <w:rsid w:val="73520620"/>
    <w:rsid w:val="7363274A"/>
    <w:rsid w:val="736462D9"/>
    <w:rsid w:val="73691A4A"/>
    <w:rsid w:val="737025EA"/>
    <w:rsid w:val="7371152B"/>
    <w:rsid w:val="73736DAC"/>
    <w:rsid w:val="73777B4D"/>
    <w:rsid w:val="737D6CF9"/>
    <w:rsid w:val="7383627D"/>
    <w:rsid w:val="73856458"/>
    <w:rsid w:val="73890F5C"/>
    <w:rsid w:val="738A6895"/>
    <w:rsid w:val="73917325"/>
    <w:rsid w:val="73950D2D"/>
    <w:rsid w:val="7395427D"/>
    <w:rsid w:val="739F1660"/>
    <w:rsid w:val="73AB4B61"/>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609D1"/>
    <w:rsid w:val="741A4809"/>
    <w:rsid w:val="741C7D0C"/>
    <w:rsid w:val="741F2652"/>
    <w:rsid w:val="7421310D"/>
    <w:rsid w:val="74257F79"/>
    <w:rsid w:val="74273820"/>
    <w:rsid w:val="7427471C"/>
    <w:rsid w:val="74330EFD"/>
    <w:rsid w:val="74355B0B"/>
    <w:rsid w:val="743C7157"/>
    <w:rsid w:val="74416F54"/>
    <w:rsid w:val="74451213"/>
    <w:rsid w:val="744B354F"/>
    <w:rsid w:val="7450294E"/>
    <w:rsid w:val="74543139"/>
    <w:rsid w:val="746651C8"/>
    <w:rsid w:val="7467234B"/>
    <w:rsid w:val="74686448"/>
    <w:rsid w:val="746B732F"/>
    <w:rsid w:val="746E18CB"/>
    <w:rsid w:val="746F3904"/>
    <w:rsid w:val="7473071B"/>
    <w:rsid w:val="748773BC"/>
    <w:rsid w:val="748D52FA"/>
    <w:rsid w:val="748D6EB4"/>
    <w:rsid w:val="74993216"/>
    <w:rsid w:val="749C4933"/>
    <w:rsid w:val="74A122CC"/>
    <w:rsid w:val="74AA06A5"/>
    <w:rsid w:val="74B44784"/>
    <w:rsid w:val="74B808BF"/>
    <w:rsid w:val="74C03187"/>
    <w:rsid w:val="74C06691"/>
    <w:rsid w:val="74D4082F"/>
    <w:rsid w:val="74DD6083"/>
    <w:rsid w:val="74DE6B05"/>
    <w:rsid w:val="74E4756E"/>
    <w:rsid w:val="74E86DF6"/>
    <w:rsid w:val="74EB43B2"/>
    <w:rsid w:val="74ED19FF"/>
    <w:rsid w:val="74F747A8"/>
    <w:rsid w:val="75084E8F"/>
    <w:rsid w:val="7509261E"/>
    <w:rsid w:val="750B5416"/>
    <w:rsid w:val="750F16AB"/>
    <w:rsid w:val="751A5614"/>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DE34B9"/>
    <w:rsid w:val="75E6623C"/>
    <w:rsid w:val="75EA364B"/>
    <w:rsid w:val="75F059EC"/>
    <w:rsid w:val="75F20996"/>
    <w:rsid w:val="75F93477"/>
    <w:rsid w:val="75F96973"/>
    <w:rsid w:val="75FE5FB4"/>
    <w:rsid w:val="76091B01"/>
    <w:rsid w:val="76123E1D"/>
    <w:rsid w:val="761270F3"/>
    <w:rsid w:val="761E3929"/>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14B3"/>
    <w:rsid w:val="766A4A0D"/>
    <w:rsid w:val="76725A45"/>
    <w:rsid w:val="767D1978"/>
    <w:rsid w:val="768C454B"/>
    <w:rsid w:val="768F719E"/>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C3D72"/>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CE703C"/>
    <w:rsid w:val="77D44398"/>
    <w:rsid w:val="77D46EFC"/>
    <w:rsid w:val="77D967A7"/>
    <w:rsid w:val="77DE5E93"/>
    <w:rsid w:val="77E66E3C"/>
    <w:rsid w:val="77F3789A"/>
    <w:rsid w:val="77F8561E"/>
    <w:rsid w:val="780326B9"/>
    <w:rsid w:val="780332E5"/>
    <w:rsid w:val="78077B5A"/>
    <w:rsid w:val="78096FFD"/>
    <w:rsid w:val="782127F0"/>
    <w:rsid w:val="78271E5B"/>
    <w:rsid w:val="783201C2"/>
    <w:rsid w:val="7833711D"/>
    <w:rsid w:val="78391D4B"/>
    <w:rsid w:val="783E647F"/>
    <w:rsid w:val="78460D63"/>
    <w:rsid w:val="78471B87"/>
    <w:rsid w:val="78497C2E"/>
    <w:rsid w:val="78502D35"/>
    <w:rsid w:val="785051F3"/>
    <w:rsid w:val="7854087B"/>
    <w:rsid w:val="78615D54"/>
    <w:rsid w:val="786A4053"/>
    <w:rsid w:val="786C46DA"/>
    <w:rsid w:val="786D6D22"/>
    <w:rsid w:val="78782A0D"/>
    <w:rsid w:val="78785A2F"/>
    <w:rsid w:val="787B5060"/>
    <w:rsid w:val="787E0EB9"/>
    <w:rsid w:val="788720E7"/>
    <w:rsid w:val="788C16AC"/>
    <w:rsid w:val="789B58CF"/>
    <w:rsid w:val="78A90B04"/>
    <w:rsid w:val="78AE4507"/>
    <w:rsid w:val="78C26D70"/>
    <w:rsid w:val="78C53485"/>
    <w:rsid w:val="78C6693F"/>
    <w:rsid w:val="78C76A01"/>
    <w:rsid w:val="78D508BC"/>
    <w:rsid w:val="78D6764B"/>
    <w:rsid w:val="78DD2859"/>
    <w:rsid w:val="78DF3BEC"/>
    <w:rsid w:val="78EC45D8"/>
    <w:rsid w:val="78EC6DF0"/>
    <w:rsid w:val="78F5335B"/>
    <w:rsid w:val="78F77CA2"/>
    <w:rsid w:val="790E39D2"/>
    <w:rsid w:val="790F432D"/>
    <w:rsid w:val="791843E7"/>
    <w:rsid w:val="791D5841"/>
    <w:rsid w:val="79233426"/>
    <w:rsid w:val="79260F03"/>
    <w:rsid w:val="79367F2D"/>
    <w:rsid w:val="79381C6E"/>
    <w:rsid w:val="79395A92"/>
    <w:rsid w:val="793C2872"/>
    <w:rsid w:val="793E15F9"/>
    <w:rsid w:val="793E57C2"/>
    <w:rsid w:val="794008FB"/>
    <w:rsid w:val="794708D9"/>
    <w:rsid w:val="794A130A"/>
    <w:rsid w:val="794B21A1"/>
    <w:rsid w:val="794C0A87"/>
    <w:rsid w:val="794E2CE6"/>
    <w:rsid w:val="79530AD7"/>
    <w:rsid w:val="795D3E92"/>
    <w:rsid w:val="7961331A"/>
    <w:rsid w:val="7964574A"/>
    <w:rsid w:val="796D45D2"/>
    <w:rsid w:val="797307CE"/>
    <w:rsid w:val="79804706"/>
    <w:rsid w:val="79807AE3"/>
    <w:rsid w:val="7988227D"/>
    <w:rsid w:val="79941CF2"/>
    <w:rsid w:val="79973382"/>
    <w:rsid w:val="79B03E5E"/>
    <w:rsid w:val="79B4353E"/>
    <w:rsid w:val="79BB4445"/>
    <w:rsid w:val="79C421B0"/>
    <w:rsid w:val="79C76124"/>
    <w:rsid w:val="79D33056"/>
    <w:rsid w:val="79D715DF"/>
    <w:rsid w:val="79DE4E5E"/>
    <w:rsid w:val="79E14685"/>
    <w:rsid w:val="79EC0256"/>
    <w:rsid w:val="79F60153"/>
    <w:rsid w:val="79F84570"/>
    <w:rsid w:val="79FA77AD"/>
    <w:rsid w:val="79FB6E2C"/>
    <w:rsid w:val="79FC53D5"/>
    <w:rsid w:val="7A0E2780"/>
    <w:rsid w:val="7A29263F"/>
    <w:rsid w:val="7A36322F"/>
    <w:rsid w:val="7A4B21AB"/>
    <w:rsid w:val="7A4C2D60"/>
    <w:rsid w:val="7A4E5365"/>
    <w:rsid w:val="7A5C5095"/>
    <w:rsid w:val="7A5E0869"/>
    <w:rsid w:val="7A620F06"/>
    <w:rsid w:val="7A6E4BF5"/>
    <w:rsid w:val="7A78261A"/>
    <w:rsid w:val="7A82157A"/>
    <w:rsid w:val="7A851D5D"/>
    <w:rsid w:val="7A8A2267"/>
    <w:rsid w:val="7A8D2E7D"/>
    <w:rsid w:val="7A986F61"/>
    <w:rsid w:val="7A994CD1"/>
    <w:rsid w:val="7A9A18B5"/>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2D05E9"/>
    <w:rsid w:val="7B306163"/>
    <w:rsid w:val="7B31652B"/>
    <w:rsid w:val="7B3E17AA"/>
    <w:rsid w:val="7B401C79"/>
    <w:rsid w:val="7B440ED6"/>
    <w:rsid w:val="7B4678D7"/>
    <w:rsid w:val="7B4B2A93"/>
    <w:rsid w:val="7B527515"/>
    <w:rsid w:val="7B581154"/>
    <w:rsid w:val="7B5A589C"/>
    <w:rsid w:val="7B6E3D5B"/>
    <w:rsid w:val="7B870239"/>
    <w:rsid w:val="7B890A24"/>
    <w:rsid w:val="7B8940DC"/>
    <w:rsid w:val="7B8A4A8A"/>
    <w:rsid w:val="7B963E5A"/>
    <w:rsid w:val="7B99266D"/>
    <w:rsid w:val="7BA54136"/>
    <w:rsid w:val="7BA7489B"/>
    <w:rsid w:val="7BAA485C"/>
    <w:rsid w:val="7BAD1591"/>
    <w:rsid w:val="7BB03367"/>
    <w:rsid w:val="7BBC2F7D"/>
    <w:rsid w:val="7BBF25D0"/>
    <w:rsid w:val="7BC04B6A"/>
    <w:rsid w:val="7BCD64C2"/>
    <w:rsid w:val="7BD100FC"/>
    <w:rsid w:val="7BD172BC"/>
    <w:rsid w:val="7BD3716B"/>
    <w:rsid w:val="7BD90FD0"/>
    <w:rsid w:val="7BDC3867"/>
    <w:rsid w:val="7BEC2711"/>
    <w:rsid w:val="7BF55850"/>
    <w:rsid w:val="7C0112BB"/>
    <w:rsid w:val="7C0D2054"/>
    <w:rsid w:val="7C1054B7"/>
    <w:rsid w:val="7C26369C"/>
    <w:rsid w:val="7C2A465C"/>
    <w:rsid w:val="7C305879"/>
    <w:rsid w:val="7C34521A"/>
    <w:rsid w:val="7C4A2BD1"/>
    <w:rsid w:val="7C516EE4"/>
    <w:rsid w:val="7C576C70"/>
    <w:rsid w:val="7C697443"/>
    <w:rsid w:val="7C6A5246"/>
    <w:rsid w:val="7C6B6666"/>
    <w:rsid w:val="7C6E4349"/>
    <w:rsid w:val="7C77043F"/>
    <w:rsid w:val="7C815ED2"/>
    <w:rsid w:val="7C8A7CDC"/>
    <w:rsid w:val="7C9516C4"/>
    <w:rsid w:val="7C9E5A24"/>
    <w:rsid w:val="7C9F7EC8"/>
    <w:rsid w:val="7CB4006B"/>
    <w:rsid w:val="7CB763AC"/>
    <w:rsid w:val="7CB93ABB"/>
    <w:rsid w:val="7CBB6FD3"/>
    <w:rsid w:val="7CCA302A"/>
    <w:rsid w:val="7CD60BCF"/>
    <w:rsid w:val="7CDA135A"/>
    <w:rsid w:val="7CE44594"/>
    <w:rsid w:val="7CE656F0"/>
    <w:rsid w:val="7CED34FF"/>
    <w:rsid w:val="7CEE5458"/>
    <w:rsid w:val="7CF26588"/>
    <w:rsid w:val="7CF5005A"/>
    <w:rsid w:val="7CF565D7"/>
    <w:rsid w:val="7CF917E0"/>
    <w:rsid w:val="7CFA3A46"/>
    <w:rsid w:val="7D0C38B8"/>
    <w:rsid w:val="7D0F5720"/>
    <w:rsid w:val="7D1F2914"/>
    <w:rsid w:val="7D2058C7"/>
    <w:rsid w:val="7D216024"/>
    <w:rsid w:val="7D2C6680"/>
    <w:rsid w:val="7D2E198F"/>
    <w:rsid w:val="7D3B3737"/>
    <w:rsid w:val="7D3D73AF"/>
    <w:rsid w:val="7D423A53"/>
    <w:rsid w:val="7D4D65C1"/>
    <w:rsid w:val="7D4F1BEF"/>
    <w:rsid w:val="7D52483D"/>
    <w:rsid w:val="7D540DEB"/>
    <w:rsid w:val="7D5A1162"/>
    <w:rsid w:val="7D5B27C9"/>
    <w:rsid w:val="7D612B47"/>
    <w:rsid w:val="7D62117D"/>
    <w:rsid w:val="7D631D92"/>
    <w:rsid w:val="7D6B7F02"/>
    <w:rsid w:val="7D6E73B9"/>
    <w:rsid w:val="7D7D4E70"/>
    <w:rsid w:val="7D814A26"/>
    <w:rsid w:val="7D834A16"/>
    <w:rsid w:val="7D8B104F"/>
    <w:rsid w:val="7D9D0A97"/>
    <w:rsid w:val="7D9D438F"/>
    <w:rsid w:val="7D9F5025"/>
    <w:rsid w:val="7DA514D2"/>
    <w:rsid w:val="7DA72D07"/>
    <w:rsid w:val="7DA86219"/>
    <w:rsid w:val="7DA93224"/>
    <w:rsid w:val="7DBE6FBE"/>
    <w:rsid w:val="7DC51C1A"/>
    <w:rsid w:val="7DCD1A27"/>
    <w:rsid w:val="7DCD4739"/>
    <w:rsid w:val="7DCD4EB5"/>
    <w:rsid w:val="7DCE3E8B"/>
    <w:rsid w:val="7DEC4723"/>
    <w:rsid w:val="7DFD4B87"/>
    <w:rsid w:val="7E090313"/>
    <w:rsid w:val="7E105142"/>
    <w:rsid w:val="7E193BC4"/>
    <w:rsid w:val="7E210D3F"/>
    <w:rsid w:val="7E2771C1"/>
    <w:rsid w:val="7E3E0FEC"/>
    <w:rsid w:val="7E3E1EF2"/>
    <w:rsid w:val="7E4D4360"/>
    <w:rsid w:val="7E566EA2"/>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04FEC"/>
    <w:rsid w:val="7F022EBD"/>
    <w:rsid w:val="7F0710F4"/>
    <w:rsid w:val="7F0B5962"/>
    <w:rsid w:val="7F0C2035"/>
    <w:rsid w:val="7F0F7992"/>
    <w:rsid w:val="7F1B0865"/>
    <w:rsid w:val="7F271AA3"/>
    <w:rsid w:val="7F542B37"/>
    <w:rsid w:val="7F5824B4"/>
    <w:rsid w:val="7F6867BD"/>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style>
  <w:style w:type="paragraph" w:styleId="13">
    <w:name w:val="List 2"/>
    <w:basedOn w:val="14"/>
    <w:semiHidden/>
    <w:qFormat/>
    <w:uiPriority w:val="0"/>
    <w:pPr>
      <w:ind w:left="851"/>
    </w:p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6"/>
    <w:qFormat/>
    <w:uiPriority w:val="0"/>
    <w:rPr>
      <w:rFonts w:hint="default" w:ascii="Times New Roman" w:hAnsi="Times New Roman" w:cs="Times New Roman"/>
      <w:color w:val="000000"/>
      <w:sz w:val="18"/>
      <w:szCs w:val="18"/>
      <w:u w:val="none"/>
    </w:rPr>
  </w:style>
  <w:style w:type="character" w:customStyle="1" w:styleId="76">
    <w:name w:val="font01"/>
    <w:basedOn w:val="26"/>
    <w:qFormat/>
    <w:uiPriority w:val="0"/>
    <w:rPr>
      <w:rFonts w:hint="default" w:ascii="Arial" w:hAnsi="Arial" w:cs="Arial"/>
      <w:color w:val="000000"/>
      <w:sz w:val="18"/>
      <w:szCs w:val="18"/>
      <w:u w:val="none"/>
    </w:rPr>
  </w:style>
  <w:style w:type="character" w:customStyle="1" w:styleId="77">
    <w:name w:val="font71"/>
    <w:basedOn w:val="26"/>
    <w:qFormat/>
    <w:uiPriority w:val="0"/>
    <w:rPr>
      <w:rFonts w:hint="default" w:ascii="Arial" w:hAnsi="Arial" w:cs="Arial"/>
      <w:color w:val="000000"/>
      <w:sz w:val="18"/>
      <w:szCs w:val="18"/>
      <w:u w:val="none"/>
    </w:rPr>
  </w:style>
  <w:style w:type="character" w:customStyle="1" w:styleId="78">
    <w:name w:val="font11"/>
    <w:basedOn w:val="26"/>
    <w:qFormat/>
    <w:uiPriority w:val="0"/>
    <w:rPr>
      <w:rFonts w:hint="default" w:ascii="Arial" w:hAnsi="Arial" w:cs="Arial"/>
      <w:color w:val="000000"/>
      <w:sz w:val="18"/>
      <w:szCs w:val="18"/>
      <w:u w:val="none"/>
      <w:vertAlign w:val="superscript"/>
    </w:rPr>
  </w:style>
  <w:style w:type="character" w:customStyle="1" w:styleId="79">
    <w:name w:val="font41"/>
    <w:basedOn w:val="26"/>
    <w:qFormat/>
    <w:uiPriority w:val="0"/>
    <w:rPr>
      <w:rFonts w:hint="default" w:ascii="Arial" w:hAnsi="Arial" w:cs="Arial"/>
      <w:color w:val="FF0000"/>
      <w:sz w:val="18"/>
      <w:szCs w:val="18"/>
      <w:u w:val="none"/>
    </w:rPr>
  </w:style>
  <w:style w:type="character" w:customStyle="1" w:styleId="80">
    <w:name w:val="font81"/>
    <w:basedOn w:val="26"/>
    <w:qFormat/>
    <w:uiPriority w:val="0"/>
    <w:rPr>
      <w:rFonts w:hint="default" w:ascii="Arial" w:hAnsi="Arial" w:cs="Arial"/>
      <w:color w:val="FF0000"/>
      <w:sz w:val="18"/>
      <w:szCs w:val="18"/>
      <w:u w:val="none"/>
      <w:vertAlign w:val="superscript"/>
    </w:rPr>
  </w:style>
  <w:style w:type="table" w:customStyle="1" w:styleId="81">
    <w:name w:val="Table Grid1"/>
    <w:basedOn w:val="24"/>
    <w:qFormat/>
    <w:uiPriority w:val="0"/>
    <w:pPr>
      <w:spacing w:after="180"/>
    </w:pPr>
    <w:rPr>
      <w:rFonts w:ascii="CG Times (WN)" w:hAnsi="CG Times (WN)" w:eastAsia="Batang"/>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11</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2025-08-15T14:56:49Z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